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color w:val="auto"/>
          <w:sz w:val="22"/>
          <w:szCs w:val="22"/>
          <w:lang w:eastAsia="zh-CN"/>
        </w:rPr>
        <w:id w:val="1136997438"/>
        <w:docPartObj>
          <w:docPartGallery w:val="Table of Contents"/>
          <w:docPartUnique/>
        </w:docPartObj>
      </w:sdtPr>
      <w:sdtEndPr>
        <w:rPr>
          <w:b/>
          <w:bCs/>
          <w:noProof/>
        </w:rPr>
      </w:sdtEndPr>
      <w:sdtContent>
        <w:p w:rsidR="00D01583" w:rsidRDefault="007069AF" w:rsidP="00D01583">
          <w:pPr>
            <w:pStyle w:val="TOCHeading"/>
            <w:tabs>
              <w:tab w:val="left" w:pos="2070"/>
            </w:tabs>
          </w:pPr>
          <w:r>
            <w:rPr>
              <w:noProof/>
            </w:rPr>
            <mc:AlternateContent>
              <mc:Choice Requires="wps">
                <w:drawing>
                  <wp:anchor distT="0" distB="0" distL="114300" distR="114300" simplePos="0" relativeHeight="251663360" behindDoc="0" locked="0" layoutInCell="1" allowOverlap="1" wp14:anchorId="35C9396B" wp14:editId="03AC8E20">
                    <wp:simplePos x="0" y="0"/>
                    <wp:positionH relativeFrom="margin">
                      <wp:align>right</wp:align>
                    </wp:positionH>
                    <wp:positionV relativeFrom="paragraph">
                      <wp:posOffset>162560</wp:posOffset>
                    </wp:positionV>
                    <wp:extent cx="591502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591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021228" id="Straight Connector 6" o:spid="_x0000_s1026" style="position:absolute;flip:y;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414.55pt,12.8pt" to="880.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" strokecolor="black [3213]" strokeweight=".5pt">
                    <v:stroke joinstyle="miter"/>
                    <w10:wrap anchorx="margin"/>
                  </v:line>
                </w:pict>
              </mc:Fallback>
            </mc:AlternateContent>
          </w:r>
          <w:r w:rsidR="00D01583">
            <w:tab/>
          </w:r>
        </w:p>
        <w:p w:rsidR="00D01583" w:rsidRDefault="00D01583">
          <w:pPr>
            <w:pStyle w:val="TOCHeading"/>
          </w:pPr>
        </w:p>
        <w:p w:rsidR="006C721E" w:rsidRPr="006C721E" w:rsidRDefault="006C721E" w:rsidP="00EE2B04">
          <w:pPr>
            <w:pStyle w:val="TOCHeading"/>
            <w:jc w:val="center"/>
            <w:rPr>
              <w:b/>
              <w:color w:val="auto"/>
              <w:sz w:val="72"/>
              <w:szCs w:val="72"/>
            </w:rPr>
          </w:pPr>
          <w:r w:rsidRPr="006C721E">
            <w:rPr>
              <w:b/>
              <w:color w:val="auto"/>
              <w:sz w:val="72"/>
              <w:szCs w:val="72"/>
            </w:rPr>
            <w:t>Pro-Mag</w:t>
          </w:r>
          <w:r w:rsidRPr="006C721E">
            <w:rPr>
              <w:b/>
              <w:color w:val="auto"/>
              <w:sz w:val="72"/>
              <w:szCs w:val="72"/>
              <w:vertAlign w:val="superscript"/>
            </w:rPr>
            <w:t>TM</w:t>
          </w:r>
          <w:r w:rsidRPr="006C721E">
            <w:rPr>
              <w:b/>
              <w:color w:val="auto"/>
              <w:sz w:val="72"/>
              <w:szCs w:val="72"/>
            </w:rPr>
            <w:t xml:space="preserve"> RNA Extraction Kit</w:t>
          </w:r>
        </w:p>
        <w:p w:rsidR="006C721E" w:rsidRPr="006C721E" w:rsidRDefault="006C721E" w:rsidP="00EE2B04">
          <w:pPr>
            <w:jc w:val="center"/>
            <w:rPr>
              <w:rFonts w:asciiTheme="majorHAnsi" w:eastAsiaTheme="majorEastAsia" w:hAnsiTheme="majorHAnsi" w:cstheme="majorBidi"/>
              <w:b/>
              <w:sz w:val="72"/>
              <w:szCs w:val="72"/>
              <w:lang w:eastAsia="en-US"/>
            </w:rPr>
          </w:pPr>
          <w:r w:rsidRPr="006C721E">
            <w:rPr>
              <w:rFonts w:asciiTheme="majorHAnsi" w:eastAsiaTheme="majorEastAsia" w:hAnsiTheme="majorHAnsi" w:cstheme="majorBidi"/>
              <w:b/>
              <w:sz w:val="72"/>
              <w:szCs w:val="72"/>
              <w:lang w:eastAsia="en-US"/>
            </w:rPr>
            <w:t>Instruction Manual</w:t>
          </w:r>
        </w:p>
        <w:p w:rsidR="006C721E" w:rsidRDefault="006C721E" w:rsidP="006C721E">
          <w:pPr>
            <w:rPr>
              <w:sz w:val="24"/>
              <w:lang w:eastAsia="en-US"/>
            </w:rPr>
          </w:pPr>
        </w:p>
        <w:p w:rsidR="006C721E" w:rsidRDefault="006C721E" w:rsidP="006C721E">
          <w:pPr>
            <w:rPr>
              <w:sz w:val="24"/>
              <w:lang w:eastAsia="en-US"/>
            </w:rPr>
          </w:pPr>
        </w:p>
        <w:p w:rsidR="006C721E" w:rsidRDefault="006C721E" w:rsidP="006C721E">
          <w:pPr>
            <w:rPr>
              <w:sz w:val="24"/>
              <w:lang w:eastAsia="en-US"/>
            </w:rPr>
          </w:pPr>
        </w:p>
        <w:p w:rsidR="006C721E" w:rsidRPr="006C721E" w:rsidRDefault="006C721E" w:rsidP="006C721E">
          <w:pPr>
            <w:rPr>
              <w:sz w:val="24"/>
              <w:lang w:eastAsia="en-US"/>
            </w:rPr>
          </w:pPr>
        </w:p>
        <w:p w:rsidR="006C721E" w:rsidRDefault="006C721E" w:rsidP="00EE2B04">
          <w:pPr>
            <w:jc w:val="center"/>
            <w:rPr>
              <w:sz w:val="56"/>
              <w:szCs w:val="56"/>
              <w:lang w:eastAsia="en-US"/>
            </w:rPr>
          </w:pPr>
          <w:r w:rsidRPr="006C721E">
            <w:rPr>
              <w:sz w:val="56"/>
              <w:szCs w:val="56"/>
              <w:lang w:eastAsia="en-US"/>
            </w:rPr>
            <w:t>Catalog # PLM-2000</w:t>
          </w:r>
        </w:p>
        <w:p w:rsidR="00D01583" w:rsidRPr="006C721E" w:rsidRDefault="00D01583" w:rsidP="00EE2B04">
          <w:pPr>
            <w:jc w:val="center"/>
            <w:rPr>
              <w:sz w:val="56"/>
              <w:szCs w:val="56"/>
              <w:lang w:eastAsia="en-US"/>
            </w:rPr>
          </w:pPr>
          <w:r>
            <w:rPr>
              <w:sz w:val="56"/>
              <w:szCs w:val="56"/>
              <w:lang w:eastAsia="en-US"/>
            </w:rPr>
            <w:t xml:space="preserve">Revision: </w:t>
          </w:r>
          <w:r w:rsidR="00C54150">
            <w:rPr>
              <w:sz w:val="56"/>
              <w:szCs w:val="56"/>
              <w:lang w:eastAsia="en-US"/>
            </w:rPr>
            <w:t>2</w:t>
          </w:r>
          <w:r w:rsidR="006547C7">
            <w:rPr>
              <w:sz w:val="56"/>
              <w:szCs w:val="56"/>
              <w:lang w:eastAsia="en-US"/>
            </w:rPr>
            <w:t>5</w:t>
          </w:r>
          <w:r>
            <w:rPr>
              <w:sz w:val="56"/>
              <w:szCs w:val="56"/>
              <w:lang w:eastAsia="en-US"/>
            </w:rPr>
            <w:t>APR2017</w:t>
          </w:r>
        </w:p>
        <w:p w:rsidR="006C721E" w:rsidRDefault="006C721E" w:rsidP="006C721E">
          <w:pPr>
            <w:rPr>
              <w:lang w:eastAsia="en-US"/>
            </w:rPr>
          </w:pPr>
        </w:p>
        <w:p w:rsidR="006C721E" w:rsidRDefault="006C721E" w:rsidP="006C721E">
          <w:pPr>
            <w:rPr>
              <w:lang w:eastAsia="en-US"/>
            </w:rPr>
          </w:pPr>
        </w:p>
        <w:p w:rsidR="006C721E" w:rsidRDefault="006C721E" w:rsidP="006C721E">
          <w:pPr>
            <w:rPr>
              <w:lang w:eastAsia="en-US"/>
            </w:rPr>
          </w:pPr>
        </w:p>
        <w:p w:rsidR="006C721E" w:rsidRDefault="006C721E" w:rsidP="006C721E">
          <w:pPr>
            <w:rPr>
              <w:lang w:eastAsia="en-US"/>
            </w:rPr>
          </w:pPr>
        </w:p>
        <w:p w:rsidR="00185C18" w:rsidRDefault="00185C18" w:rsidP="006C721E">
          <w:pPr>
            <w:rPr>
              <w:lang w:eastAsia="en-US"/>
            </w:rPr>
          </w:pPr>
        </w:p>
        <w:p w:rsidR="00185C18" w:rsidRDefault="00185C18" w:rsidP="006C721E">
          <w:pPr>
            <w:rPr>
              <w:lang w:eastAsia="en-US"/>
            </w:rPr>
          </w:pPr>
        </w:p>
        <w:p w:rsidR="00185C18" w:rsidRDefault="00185C18" w:rsidP="006C721E">
          <w:pPr>
            <w:rPr>
              <w:lang w:eastAsia="en-US"/>
            </w:rPr>
          </w:pPr>
        </w:p>
        <w:p w:rsidR="00185C18" w:rsidRDefault="00700DF9" w:rsidP="006C721E">
          <w:pPr>
            <w:rPr>
              <w:lang w:eastAsia="en-US"/>
            </w:rPr>
          </w:pPr>
          <w:r>
            <w:rPr>
              <w:noProof/>
              <w:lang w:eastAsia="en-US"/>
            </w:rPr>
            <w:drawing>
              <wp:anchor distT="0" distB="0" distL="114300" distR="114300" simplePos="0" relativeHeight="251662335" behindDoc="1" locked="0" layoutInCell="1" allowOverlap="1">
                <wp:simplePos x="0" y="0"/>
                <wp:positionH relativeFrom="margin">
                  <wp:align>center</wp:align>
                </wp:positionH>
                <wp:positionV relativeFrom="paragraph">
                  <wp:posOffset>257810</wp:posOffset>
                </wp:positionV>
                <wp:extent cx="335280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Lab-Diagnostics-Logo-CMYK-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2800" cy="838200"/>
                        </a:xfrm>
                        <a:prstGeom prst="rect">
                          <a:avLst/>
                        </a:prstGeom>
                      </pic:spPr>
                    </pic:pic>
                  </a:graphicData>
                </a:graphic>
                <wp14:sizeRelH relativeFrom="margin">
                  <wp14:pctWidth>0</wp14:pctWidth>
                </wp14:sizeRelH>
                <wp14:sizeRelV relativeFrom="margin">
                  <wp14:pctHeight>0</wp14:pctHeight>
                </wp14:sizeRelV>
              </wp:anchor>
            </w:drawing>
          </w:r>
        </w:p>
        <w:p w:rsidR="00EE2B04" w:rsidRDefault="00EE2B04" w:rsidP="006C721E">
          <w:pPr>
            <w:rPr>
              <w:lang w:eastAsia="en-US"/>
            </w:rPr>
          </w:pPr>
        </w:p>
        <w:p w:rsidR="00EE2B04" w:rsidRDefault="00EE2B04" w:rsidP="006C721E">
          <w:pPr>
            <w:rPr>
              <w:lang w:eastAsia="en-US"/>
            </w:rPr>
          </w:pPr>
        </w:p>
        <w:p w:rsidR="00EE2B04" w:rsidRDefault="00EE2B04" w:rsidP="006C721E">
          <w:pPr>
            <w:rPr>
              <w:lang w:eastAsia="en-US"/>
            </w:rPr>
          </w:pPr>
        </w:p>
        <w:p w:rsidR="006C721E" w:rsidRPr="00700DF9" w:rsidRDefault="006C721E" w:rsidP="00EE2B04">
          <w:pPr>
            <w:jc w:val="center"/>
            <w:rPr>
              <w:sz w:val="24"/>
              <w:szCs w:val="24"/>
              <w:lang w:eastAsia="en-US"/>
            </w:rPr>
          </w:pPr>
          <w:r w:rsidRPr="00700DF9">
            <w:rPr>
              <w:sz w:val="24"/>
              <w:szCs w:val="24"/>
              <w:lang w:eastAsia="en-US"/>
            </w:rPr>
            <w:t>For technical support</w:t>
          </w:r>
          <w:r w:rsidR="00EE2B04" w:rsidRPr="00700DF9">
            <w:rPr>
              <w:sz w:val="24"/>
              <w:szCs w:val="24"/>
              <w:lang w:eastAsia="en-US"/>
            </w:rPr>
            <w:t>,</w:t>
          </w:r>
          <w:r w:rsidRPr="00700DF9">
            <w:rPr>
              <w:sz w:val="24"/>
              <w:szCs w:val="24"/>
              <w:lang w:eastAsia="en-US"/>
            </w:rPr>
            <w:t xml:space="preserve"> email support@pro-lab.us</w:t>
          </w:r>
        </w:p>
        <w:p w:rsidR="006C721E" w:rsidRPr="006C721E" w:rsidRDefault="006C721E" w:rsidP="006C721E">
          <w:pPr>
            <w:rPr>
              <w:lang w:eastAsia="en-US"/>
            </w:rPr>
          </w:pPr>
        </w:p>
        <w:p w:rsidR="00652FAA" w:rsidRDefault="00652FAA">
          <w:pPr>
            <w:pStyle w:val="TOCHeading"/>
          </w:pPr>
        </w:p>
        <w:p w:rsidR="0022628E" w:rsidRPr="000A78AF" w:rsidRDefault="0022628E" w:rsidP="0084175B">
          <w:pPr>
            <w:rPr>
              <w:rStyle w:val="Heading1Char"/>
            </w:rPr>
          </w:pPr>
          <w:bookmarkStart w:id="0" w:name="_Toc479532443"/>
          <w:r w:rsidRPr="0022628E">
            <w:rPr>
              <w:rStyle w:val="Heading1Char"/>
              <w:b/>
            </w:rPr>
            <w:t>Contents</w:t>
          </w:r>
          <w:bookmarkEnd w:id="0"/>
        </w:p>
        <w:p w:rsidR="0084175B" w:rsidRDefault="0022628E">
          <w:pPr>
            <w:pStyle w:val="TOC1"/>
            <w:tabs>
              <w:tab w:val="right" w:leader="dot" w:pos="9350"/>
            </w:tabs>
            <w:rPr>
              <w:noProof/>
              <w:lang w:eastAsia="en-US"/>
            </w:rPr>
          </w:pPr>
          <w:r>
            <w:fldChar w:fldCharType="begin"/>
          </w:r>
          <w:r>
            <w:instrText xml:space="preserve"> TOC \o "1-3" \h \z \u </w:instrText>
          </w:r>
          <w:r>
            <w:fldChar w:fldCharType="separate"/>
          </w:r>
        </w:p>
        <w:p w:rsidR="0084175B" w:rsidRDefault="006547C7">
          <w:pPr>
            <w:pStyle w:val="TOC1"/>
            <w:tabs>
              <w:tab w:val="right" w:leader="dot" w:pos="9350"/>
            </w:tabs>
            <w:rPr>
              <w:noProof/>
              <w:lang w:eastAsia="en-US"/>
            </w:rPr>
          </w:pPr>
          <w:hyperlink w:anchor="_Toc479532444" w:history="1">
            <w:r w:rsidR="0084175B" w:rsidRPr="004B2F70">
              <w:rPr>
                <w:rStyle w:val="Hyperlink"/>
                <w:noProof/>
              </w:rPr>
              <w:t>Introduction</w:t>
            </w:r>
            <w:r w:rsidR="0084175B">
              <w:rPr>
                <w:noProof/>
                <w:webHidden/>
              </w:rPr>
              <w:tab/>
            </w:r>
            <w:r w:rsidR="0084175B">
              <w:rPr>
                <w:noProof/>
                <w:webHidden/>
              </w:rPr>
              <w:fldChar w:fldCharType="begin"/>
            </w:r>
            <w:r w:rsidR="0084175B">
              <w:rPr>
                <w:noProof/>
                <w:webHidden/>
              </w:rPr>
              <w:instrText xml:space="preserve"> PAGEREF _Toc479532444 \h </w:instrText>
            </w:r>
            <w:r w:rsidR="0084175B">
              <w:rPr>
                <w:noProof/>
                <w:webHidden/>
              </w:rPr>
            </w:r>
            <w:r w:rsidR="0084175B">
              <w:rPr>
                <w:noProof/>
                <w:webHidden/>
              </w:rPr>
              <w:fldChar w:fldCharType="separate"/>
            </w:r>
            <w:r w:rsidR="00855D5B">
              <w:rPr>
                <w:noProof/>
                <w:webHidden/>
              </w:rPr>
              <w:t>3</w:t>
            </w:r>
            <w:r w:rsidR="0084175B">
              <w:rPr>
                <w:noProof/>
                <w:webHidden/>
              </w:rPr>
              <w:fldChar w:fldCharType="end"/>
            </w:r>
          </w:hyperlink>
        </w:p>
        <w:p w:rsidR="0084175B" w:rsidRDefault="006547C7">
          <w:pPr>
            <w:pStyle w:val="TOC1"/>
            <w:tabs>
              <w:tab w:val="right" w:leader="dot" w:pos="9350"/>
            </w:tabs>
            <w:rPr>
              <w:noProof/>
              <w:lang w:eastAsia="en-US"/>
            </w:rPr>
          </w:pPr>
          <w:hyperlink w:anchor="_Toc479532445" w:history="1">
            <w:r w:rsidR="0084175B" w:rsidRPr="004B2F70">
              <w:rPr>
                <w:rStyle w:val="Hyperlink"/>
                <w:noProof/>
              </w:rPr>
              <w:t>Kit Contents</w:t>
            </w:r>
            <w:r w:rsidR="0084175B">
              <w:rPr>
                <w:noProof/>
                <w:webHidden/>
              </w:rPr>
              <w:tab/>
            </w:r>
            <w:r w:rsidR="0084175B">
              <w:rPr>
                <w:noProof/>
                <w:webHidden/>
              </w:rPr>
              <w:fldChar w:fldCharType="begin"/>
            </w:r>
            <w:r w:rsidR="0084175B">
              <w:rPr>
                <w:noProof/>
                <w:webHidden/>
              </w:rPr>
              <w:instrText xml:space="preserve"> PAGEREF _Toc479532445 \h </w:instrText>
            </w:r>
            <w:r w:rsidR="0084175B">
              <w:rPr>
                <w:noProof/>
                <w:webHidden/>
              </w:rPr>
            </w:r>
            <w:r w:rsidR="0084175B">
              <w:rPr>
                <w:noProof/>
                <w:webHidden/>
              </w:rPr>
              <w:fldChar w:fldCharType="separate"/>
            </w:r>
            <w:r w:rsidR="00855D5B">
              <w:rPr>
                <w:noProof/>
                <w:webHidden/>
              </w:rPr>
              <w:t>3</w:t>
            </w:r>
            <w:r w:rsidR="0084175B">
              <w:rPr>
                <w:noProof/>
                <w:webHidden/>
              </w:rPr>
              <w:fldChar w:fldCharType="end"/>
            </w:r>
          </w:hyperlink>
        </w:p>
        <w:p w:rsidR="0084175B" w:rsidRDefault="006547C7">
          <w:pPr>
            <w:pStyle w:val="TOC1"/>
            <w:tabs>
              <w:tab w:val="right" w:leader="dot" w:pos="9350"/>
            </w:tabs>
            <w:rPr>
              <w:noProof/>
              <w:lang w:eastAsia="en-US"/>
            </w:rPr>
          </w:pPr>
          <w:hyperlink w:anchor="_Toc479532446" w:history="1">
            <w:r w:rsidR="0084175B" w:rsidRPr="004B2F70">
              <w:rPr>
                <w:rStyle w:val="Hyperlink"/>
                <w:noProof/>
              </w:rPr>
              <w:t>Storage</w:t>
            </w:r>
            <w:r w:rsidR="0084175B">
              <w:rPr>
                <w:noProof/>
                <w:webHidden/>
              </w:rPr>
              <w:tab/>
            </w:r>
            <w:r w:rsidR="0084175B">
              <w:rPr>
                <w:noProof/>
                <w:webHidden/>
              </w:rPr>
              <w:fldChar w:fldCharType="begin"/>
            </w:r>
            <w:r w:rsidR="0084175B">
              <w:rPr>
                <w:noProof/>
                <w:webHidden/>
              </w:rPr>
              <w:instrText xml:space="preserve"> PAGEREF _Toc479532446 \h </w:instrText>
            </w:r>
            <w:r w:rsidR="0084175B">
              <w:rPr>
                <w:noProof/>
                <w:webHidden/>
              </w:rPr>
            </w:r>
            <w:r w:rsidR="0084175B">
              <w:rPr>
                <w:noProof/>
                <w:webHidden/>
              </w:rPr>
              <w:fldChar w:fldCharType="separate"/>
            </w:r>
            <w:r w:rsidR="00855D5B">
              <w:rPr>
                <w:noProof/>
                <w:webHidden/>
              </w:rPr>
              <w:t>4</w:t>
            </w:r>
            <w:r w:rsidR="0084175B">
              <w:rPr>
                <w:noProof/>
                <w:webHidden/>
              </w:rPr>
              <w:fldChar w:fldCharType="end"/>
            </w:r>
          </w:hyperlink>
        </w:p>
        <w:p w:rsidR="0084175B" w:rsidRDefault="006547C7">
          <w:pPr>
            <w:pStyle w:val="TOC1"/>
            <w:tabs>
              <w:tab w:val="right" w:leader="dot" w:pos="9350"/>
            </w:tabs>
            <w:rPr>
              <w:noProof/>
              <w:lang w:eastAsia="en-US"/>
            </w:rPr>
          </w:pPr>
          <w:hyperlink w:anchor="_Toc479532447" w:history="1">
            <w:r w:rsidR="0084175B" w:rsidRPr="004B2F70">
              <w:rPr>
                <w:rStyle w:val="Hyperlink"/>
                <w:noProof/>
              </w:rPr>
              <w:t>Safety Information</w:t>
            </w:r>
            <w:r w:rsidR="0084175B">
              <w:rPr>
                <w:noProof/>
                <w:webHidden/>
              </w:rPr>
              <w:tab/>
            </w:r>
            <w:r w:rsidR="0084175B">
              <w:rPr>
                <w:noProof/>
                <w:webHidden/>
              </w:rPr>
              <w:fldChar w:fldCharType="begin"/>
            </w:r>
            <w:r w:rsidR="0084175B">
              <w:rPr>
                <w:noProof/>
                <w:webHidden/>
              </w:rPr>
              <w:instrText xml:space="preserve"> PAGEREF _Toc479532447 \h </w:instrText>
            </w:r>
            <w:r w:rsidR="0084175B">
              <w:rPr>
                <w:noProof/>
                <w:webHidden/>
              </w:rPr>
            </w:r>
            <w:r w:rsidR="0084175B">
              <w:rPr>
                <w:noProof/>
                <w:webHidden/>
              </w:rPr>
              <w:fldChar w:fldCharType="separate"/>
            </w:r>
            <w:r w:rsidR="00855D5B">
              <w:rPr>
                <w:noProof/>
                <w:webHidden/>
              </w:rPr>
              <w:t>4</w:t>
            </w:r>
            <w:r w:rsidR="0084175B">
              <w:rPr>
                <w:noProof/>
                <w:webHidden/>
              </w:rPr>
              <w:fldChar w:fldCharType="end"/>
            </w:r>
          </w:hyperlink>
        </w:p>
        <w:p w:rsidR="0084175B" w:rsidRDefault="006547C7">
          <w:pPr>
            <w:pStyle w:val="TOC1"/>
            <w:tabs>
              <w:tab w:val="right" w:leader="dot" w:pos="9350"/>
            </w:tabs>
            <w:rPr>
              <w:noProof/>
              <w:lang w:eastAsia="en-US"/>
            </w:rPr>
          </w:pPr>
          <w:hyperlink w:anchor="_Toc479532448" w:history="1">
            <w:r w:rsidR="0084175B" w:rsidRPr="004B2F70">
              <w:rPr>
                <w:rStyle w:val="Hyperlink"/>
                <w:noProof/>
              </w:rPr>
              <w:t>Protocol</w:t>
            </w:r>
            <w:r w:rsidR="0084175B">
              <w:rPr>
                <w:noProof/>
                <w:webHidden/>
              </w:rPr>
              <w:tab/>
            </w:r>
            <w:r w:rsidR="0084175B">
              <w:rPr>
                <w:noProof/>
                <w:webHidden/>
              </w:rPr>
              <w:fldChar w:fldCharType="begin"/>
            </w:r>
            <w:r w:rsidR="0084175B">
              <w:rPr>
                <w:noProof/>
                <w:webHidden/>
              </w:rPr>
              <w:instrText xml:space="preserve"> PAGEREF _Toc479532448 \h </w:instrText>
            </w:r>
            <w:r w:rsidR="0084175B">
              <w:rPr>
                <w:noProof/>
                <w:webHidden/>
              </w:rPr>
            </w:r>
            <w:r w:rsidR="0084175B">
              <w:rPr>
                <w:noProof/>
                <w:webHidden/>
              </w:rPr>
              <w:fldChar w:fldCharType="separate"/>
            </w:r>
            <w:r w:rsidR="00855D5B">
              <w:rPr>
                <w:noProof/>
                <w:webHidden/>
              </w:rPr>
              <w:t>4</w:t>
            </w:r>
            <w:r w:rsidR="0084175B">
              <w:rPr>
                <w:noProof/>
                <w:webHidden/>
              </w:rPr>
              <w:fldChar w:fldCharType="end"/>
            </w:r>
          </w:hyperlink>
        </w:p>
        <w:p w:rsidR="0084175B" w:rsidRDefault="006547C7">
          <w:pPr>
            <w:pStyle w:val="TOC1"/>
            <w:tabs>
              <w:tab w:val="right" w:leader="dot" w:pos="9350"/>
            </w:tabs>
            <w:rPr>
              <w:noProof/>
              <w:lang w:eastAsia="en-US"/>
            </w:rPr>
          </w:pPr>
          <w:hyperlink w:anchor="_Toc479532449" w:history="1">
            <w:r w:rsidR="0084175B" w:rsidRPr="004B2F70">
              <w:rPr>
                <w:rStyle w:val="Hyperlink"/>
                <w:noProof/>
              </w:rPr>
              <w:t>Troubleshooting Guide</w:t>
            </w:r>
            <w:r w:rsidR="0084175B">
              <w:rPr>
                <w:noProof/>
                <w:webHidden/>
              </w:rPr>
              <w:tab/>
            </w:r>
            <w:r w:rsidR="0084175B">
              <w:rPr>
                <w:noProof/>
                <w:webHidden/>
              </w:rPr>
              <w:fldChar w:fldCharType="begin"/>
            </w:r>
            <w:r w:rsidR="0084175B">
              <w:rPr>
                <w:noProof/>
                <w:webHidden/>
              </w:rPr>
              <w:instrText xml:space="preserve"> PAGEREF _Toc479532449 \h </w:instrText>
            </w:r>
            <w:r w:rsidR="0084175B">
              <w:rPr>
                <w:noProof/>
                <w:webHidden/>
              </w:rPr>
            </w:r>
            <w:r w:rsidR="0084175B">
              <w:rPr>
                <w:noProof/>
                <w:webHidden/>
              </w:rPr>
              <w:fldChar w:fldCharType="separate"/>
            </w:r>
            <w:r w:rsidR="00855D5B">
              <w:rPr>
                <w:noProof/>
                <w:webHidden/>
              </w:rPr>
              <w:t>5</w:t>
            </w:r>
            <w:r w:rsidR="0084175B">
              <w:rPr>
                <w:noProof/>
                <w:webHidden/>
              </w:rPr>
              <w:fldChar w:fldCharType="end"/>
            </w:r>
          </w:hyperlink>
        </w:p>
        <w:p w:rsidR="0084175B" w:rsidRDefault="006547C7">
          <w:pPr>
            <w:pStyle w:val="TOC1"/>
            <w:tabs>
              <w:tab w:val="right" w:leader="dot" w:pos="9350"/>
            </w:tabs>
            <w:rPr>
              <w:noProof/>
              <w:lang w:eastAsia="en-US"/>
            </w:rPr>
          </w:pPr>
          <w:hyperlink w:anchor="_Toc479532450" w:history="1">
            <w:r w:rsidR="0084175B" w:rsidRPr="004B2F70">
              <w:rPr>
                <w:rStyle w:val="Hyperlink"/>
                <w:noProof/>
              </w:rPr>
              <w:t>Ordering Information</w:t>
            </w:r>
            <w:r w:rsidR="0084175B">
              <w:rPr>
                <w:noProof/>
                <w:webHidden/>
              </w:rPr>
              <w:tab/>
            </w:r>
            <w:r w:rsidR="0084175B">
              <w:rPr>
                <w:noProof/>
                <w:webHidden/>
              </w:rPr>
              <w:fldChar w:fldCharType="begin"/>
            </w:r>
            <w:r w:rsidR="0084175B">
              <w:rPr>
                <w:noProof/>
                <w:webHidden/>
              </w:rPr>
              <w:instrText xml:space="preserve"> PAGEREF _Toc479532450 \h </w:instrText>
            </w:r>
            <w:r w:rsidR="0084175B">
              <w:rPr>
                <w:noProof/>
                <w:webHidden/>
              </w:rPr>
            </w:r>
            <w:r w:rsidR="0084175B">
              <w:rPr>
                <w:noProof/>
                <w:webHidden/>
              </w:rPr>
              <w:fldChar w:fldCharType="separate"/>
            </w:r>
            <w:r w:rsidR="00855D5B">
              <w:rPr>
                <w:noProof/>
                <w:webHidden/>
              </w:rPr>
              <w:t>6</w:t>
            </w:r>
            <w:r w:rsidR="0084175B">
              <w:rPr>
                <w:noProof/>
                <w:webHidden/>
              </w:rPr>
              <w:fldChar w:fldCharType="end"/>
            </w:r>
          </w:hyperlink>
        </w:p>
        <w:p w:rsidR="0022628E" w:rsidRDefault="0022628E">
          <w:r>
            <w:rPr>
              <w:b/>
              <w:bCs/>
              <w:noProof/>
            </w:rPr>
            <w:fldChar w:fldCharType="end"/>
          </w:r>
        </w:p>
      </w:sdtContent>
    </w:sdt>
    <w:p w:rsidR="000A78AF" w:rsidRDefault="000A78AF" w:rsidP="000A78AF">
      <w:pPr>
        <w:rPr>
          <w:rStyle w:val="Strong"/>
          <w:b w:val="0"/>
          <w:bCs w:val="0"/>
        </w:rPr>
      </w:pPr>
    </w:p>
    <w:p w:rsidR="000A78AF" w:rsidRDefault="000A78AF" w:rsidP="000A78AF">
      <w:pPr>
        <w:rPr>
          <w:rStyle w:val="Strong"/>
          <w:b w:val="0"/>
          <w:bCs w:val="0"/>
        </w:rPr>
      </w:pPr>
    </w:p>
    <w:p w:rsidR="000A78AF" w:rsidRDefault="000A78AF" w:rsidP="000A78AF">
      <w:pPr>
        <w:rPr>
          <w:rStyle w:val="Strong"/>
          <w:b w:val="0"/>
          <w:bCs w:val="0"/>
        </w:rPr>
      </w:pPr>
    </w:p>
    <w:p w:rsidR="000A78AF" w:rsidRDefault="000A78AF" w:rsidP="000A78AF">
      <w:pPr>
        <w:rPr>
          <w:rStyle w:val="Strong"/>
          <w:b w:val="0"/>
          <w:bCs w:val="0"/>
        </w:rPr>
      </w:pPr>
    </w:p>
    <w:p w:rsidR="000A78AF" w:rsidRDefault="000A78AF" w:rsidP="000A78AF">
      <w:pPr>
        <w:rPr>
          <w:rStyle w:val="Strong"/>
          <w:b w:val="0"/>
          <w:bCs w:val="0"/>
        </w:rPr>
      </w:pPr>
    </w:p>
    <w:p w:rsidR="000A78AF" w:rsidRDefault="000A78AF" w:rsidP="000A78AF">
      <w:pPr>
        <w:rPr>
          <w:rStyle w:val="Strong"/>
          <w:b w:val="0"/>
          <w:bCs w:val="0"/>
        </w:rPr>
      </w:pPr>
    </w:p>
    <w:p w:rsidR="000A78AF" w:rsidRDefault="000A78AF" w:rsidP="000A78AF">
      <w:pPr>
        <w:rPr>
          <w:rStyle w:val="Strong"/>
          <w:b w:val="0"/>
          <w:bCs w:val="0"/>
        </w:rPr>
      </w:pPr>
    </w:p>
    <w:p w:rsidR="000A78AF" w:rsidRDefault="000A78AF" w:rsidP="000A78AF">
      <w:pPr>
        <w:rPr>
          <w:rStyle w:val="Strong"/>
          <w:b w:val="0"/>
          <w:bCs w:val="0"/>
        </w:rPr>
      </w:pPr>
    </w:p>
    <w:p w:rsidR="000A78AF" w:rsidRDefault="000A78AF" w:rsidP="000A78AF">
      <w:pPr>
        <w:rPr>
          <w:rStyle w:val="Strong"/>
          <w:b w:val="0"/>
          <w:bCs w:val="0"/>
        </w:rPr>
      </w:pPr>
    </w:p>
    <w:p w:rsidR="000A78AF" w:rsidRDefault="000A78AF" w:rsidP="000A78AF">
      <w:pPr>
        <w:rPr>
          <w:rStyle w:val="Strong"/>
          <w:b w:val="0"/>
          <w:bCs w:val="0"/>
        </w:rPr>
      </w:pPr>
    </w:p>
    <w:p w:rsidR="000A78AF" w:rsidRDefault="000A78AF" w:rsidP="000A78AF">
      <w:pPr>
        <w:rPr>
          <w:rStyle w:val="Strong"/>
          <w:b w:val="0"/>
          <w:bCs w:val="0"/>
        </w:rPr>
      </w:pPr>
    </w:p>
    <w:p w:rsidR="000A78AF" w:rsidRDefault="000A78AF" w:rsidP="000A78AF">
      <w:pPr>
        <w:rPr>
          <w:rStyle w:val="Strong"/>
          <w:b w:val="0"/>
          <w:bCs w:val="0"/>
        </w:rPr>
      </w:pPr>
    </w:p>
    <w:p w:rsidR="000A78AF" w:rsidRDefault="000A78AF" w:rsidP="000A78AF">
      <w:pPr>
        <w:rPr>
          <w:rStyle w:val="Strong"/>
          <w:b w:val="0"/>
          <w:bCs w:val="0"/>
        </w:rPr>
      </w:pPr>
    </w:p>
    <w:p w:rsidR="000A78AF" w:rsidRDefault="000A78AF" w:rsidP="000A78AF">
      <w:pPr>
        <w:rPr>
          <w:rStyle w:val="Strong"/>
          <w:b w:val="0"/>
          <w:bCs w:val="0"/>
        </w:rPr>
      </w:pPr>
    </w:p>
    <w:p w:rsidR="000A78AF" w:rsidRDefault="000A78AF" w:rsidP="000A78AF">
      <w:pPr>
        <w:rPr>
          <w:rStyle w:val="Strong"/>
          <w:b w:val="0"/>
          <w:bCs w:val="0"/>
        </w:rPr>
      </w:pPr>
    </w:p>
    <w:p w:rsidR="000A78AF" w:rsidRDefault="000A78AF" w:rsidP="000A78AF">
      <w:pPr>
        <w:rPr>
          <w:rStyle w:val="Strong"/>
          <w:b w:val="0"/>
          <w:bCs w:val="0"/>
        </w:rPr>
      </w:pPr>
    </w:p>
    <w:p w:rsidR="000A78AF" w:rsidRPr="000A78AF" w:rsidRDefault="000A78AF" w:rsidP="0015076A">
      <w:pPr>
        <w:pStyle w:val="Heading1"/>
      </w:pPr>
      <w:bookmarkStart w:id="1" w:name="_Toc479532444"/>
      <w:r w:rsidRPr="0015076A">
        <w:rPr>
          <w:b/>
        </w:rPr>
        <w:t>Introduction</w:t>
      </w:r>
      <w:bookmarkEnd w:id="1"/>
    </w:p>
    <w:p w:rsidR="000A78AF" w:rsidRDefault="000A78AF" w:rsidP="000A78AF">
      <w:pPr>
        <w:rPr>
          <w:rStyle w:val="Strong"/>
          <w:b w:val="0"/>
          <w:bCs w:val="0"/>
        </w:rPr>
      </w:pPr>
    </w:p>
    <w:p w:rsidR="00A56432" w:rsidRPr="00A56432" w:rsidRDefault="006A0EB8" w:rsidP="00821E1E">
      <w:pPr>
        <w:autoSpaceDE w:val="0"/>
        <w:autoSpaceDN w:val="0"/>
        <w:adjustRightInd w:val="0"/>
        <w:spacing w:line="240" w:lineRule="auto"/>
        <w:jc w:val="both"/>
        <w:rPr>
          <w:rStyle w:val="Strong"/>
          <w:b w:val="0"/>
        </w:rPr>
      </w:pPr>
      <w:r w:rsidRPr="00A56432">
        <w:rPr>
          <w:rStyle w:val="Strong"/>
          <w:b w:val="0"/>
          <w:bCs w:val="0"/>
        </w:rPr>
        <w:t>T</w:t>
      </w:r>
      <w:r w:rsidR="00700DF9" w:rsidRPr="00A56432">
        <w:rPr>
          <w:rStyle w:val="Strong"/>
          <w:b w:val="0"/>
          <w:bCs w:val="0"/>
        </w:rPr>
        <w:t>he Pro-Mag</w:t>
      </w:r>
      <w:r w:rsidR="00700DF9" w:rsidRPr="004833A9">
        <w:rPr>
          <w:rStyle w:val="Strong"/>
          <w:b w:val="0"/>
          <w:bCs w:val="0"/>
          <w:vertAlign w:val="superscript"/>
        </w:rPr>
        <w:t>TM</w:t>
      </w:r>
      <w:r w:rsidR="00700DF9" w:rsidRPr="00A56432">
        <w:rPr>
          <w:rStyle w:val="Strong"/>
          <w:b w:val="0"/>
          <w:bCs w:val="0"/>
        </w:rPr>
        <w:t xml:space="preserve"> RNA Extraction </w:t>
      </w:r>
      <w:r w:rsidR="00A56432" w:rsidRPr="00A56432">
        <w:rPr>
          <w:rStyle w:val="Strong"/>
          <w:b w:val="0"/>
        </w:rPr>
        <w:t>is designed to isolate total RNA from a</w:t>
      </w:r>
      <w:r w:rsidR="00A56432">
        <w:rPr>
          <w:rStyle w:val="Strong"/>
          <w:b w:val="0"/>
        </w:rPr>
        <w:t xml:space="preserve"> variety of sample types for </w:t>
      </w:r>
      <w:r w:rsidR="00A56432" w:rsidRPr="00A56432">
        <w:rPr>
          <w:rStyle w:val="Strong"/>
          <w:b w:val="0"/>
        </w:rPr>
        <w:t xml:space="preserve">molecular biology applications such as isothermal </w:t>
      </w:r>
      <w:r w:rsidR="00A56432">
        <w:rPr>
          <w:rStyle w:val="Strong"/>
          <w:b w:val="0"/>
        </w:rPr>
        <w:t xml:space="preserve">amplification, real-time PCR, and reverse transcription-PCR (RT-PCR). </w:t>
      </w:r>
    </w:p>
    <w:p w:rsidR="004833A9" w:rsidRDefault="004833A9" w:rsidP="00821E1E">
      <w:pPr>
        <w:autoSpaceDE w:val="0"/>
        <w:autoSpaceDN w:val="0"/>
        <w:adjustRightInd w:val="0"/>
        <w:spacing w:line="240" w:lineRule="auto"/>
        <w:jc w:val="both"/>
        <w:rPr>
          <w:rStyle w:val="Strong"/>
          <w:b w:val="0"/>
        </w:rPr>
      </w:pPr>
      <w:r w:rsidRPr="00A56432">
        <w:rPr>
          <w:rStyle w:val="Strong"/>
          <w:b w:val="0"/>
        </w:rPr>
        <w:t>The principle of this method relies on the lysis buffer activity to denature and lyse cells for RNA extraction, and the magnetic nucleic acid binding beads to capture RNA for elution. The unique buffer chemistry enables selective nucleic acid binding of RNA</w:t>
      </w:r>
      <w:r w:rsidR="007C1DD9">
        <w:rPr>
          <w:rStyle w:val="Strong"/>
          <w:b w:val="0"/>
        </w:rPr>
        <w:t>.</w:t>
      </w:r>
      <w:r w:rsidR="007C1DD9" w:rsidRPr="007C1DD9">
        <w:rPr>
          <w:rStyle w:val="Strong"/>
          <w:b w:val="0"/>
        </w:rPr>
        <w:t xml:space="preserve"> </w:t>
      </w:r>
      <w:r w:rsidR="007C1DD9">
        <w:rPr>
          <w:rStyle w:val="Strong"/>
          <w:b w:val="0"/>
        </w:rPr>
        <w:t>All buffer components are quality control checked for RNase contamination.</w:t>
      </w:r>
    </w:p>
    <w:p w:rsidR="00A56432" w:rsidRDefault="00A56432" w:rsidP="00821E1E">
      <w:pPr>
        <w:autoSpaceDE w:val="0"/>
        <w:autoSpaceDN w:val="0"/>
        <w:adjustRightInd w:val="0"/>
        <w:spacing w:line="240" w:lineRule="auto"/>
        <w:jc w:val="both"/>
        <w:rPr>
          <w:rStyle w:val="Strong"/>
          <w:b w:val="0"/>
        </w:rPr>
      </w:pPr>
      <w:r w:rsidRPr="00A56432">
        <w:rPr>
          <w:rStyle w:val="Strong"/>
          <w:b w:val="0"/>
        </w:rPr>
        <w:t xml:space="preserve">The </w:t>
      </w:r>
      <w:r w:rsidR="004833A9" w:rsidRPr="00A56432">
        <w:rPr>
          <w:rStyle w:val="Strong"/>
          <w:b w:val="0"/>
          <w:bCs w:val="0"/>
        </w:rPr>
        <w:t>Pro-Mag</w:t>
      </w:r>
      <w:r w:rsidR="004833A9" w:rsidRPr="004833A9">
        <w:rPr>
          <w:rStyle w:val="Strong"/>
          <w:b w:val="0"/>
          <w:bCs w:val="0"/>
          <w:vertAlign w:val="superscript"/>
        </w:rPr>
        <w:t>TM</w:t>
      </w:r>
      <w:r w:rsidR="004833A9" w:rsidRPr="00A56432">
        <w:rPr>
          <w:rStyle w:val="Strong"/>
          <w:b w:val="0"/>
        </w:rPr>
        <w:t xml:space="preserve"> </w:t>
      </w:r>
      <w:r w:rsidRPr="00A56432">
        <w:rPr>
          <w:rStyle w:val="Strong"/>
          <w:b w:val="0"/>
        </w:rPr>
        <w:t xml:space="preserve">RNA Extraction Kit allows the flexibility to process multiple samples depending on the magnetic separation rack </w:t>
      </w:r>
      <w:r w:rsidR="004833A9">
        <w:rPr>
          <w:rStyle w:val="Strong"/>
          <w:b w:val="0"/>
        </w:rPr>
        <w:t xml:space="preserve">used. </w:t>
      </w:r>
    </w:p>
    <w:p w:rsidR="00A44B38" w:rsidRPr="00A44B38" w:rsidRDefault="00A44B38" w:rsidP="00A44B38">
      <w:pPr>
        <w:autoSpaceDE w:val="0"/>
        <w:autoSpaceDN w:val="0"/>
        <w:adjustRightInd w:val="0"/>
        <w:spacing w:after="0" w:line="240" w:lineRule="auto"/>
        <w:jc w:val="both"/>
        <w:rPr>
          <w:rStyle w:val="Strong"/>
          <w:b w:val="0"/>
        </w:rPr>
      </w:pPr>
      <w:r w:rsidRPr="00A44B38">
        <w:rPr>
          <w:rStyle w:val="Strong"/>
          <w:b w:val="0"/>
        </w:rPr>
        <w:t>This product is not intended for the diagnosis, prevention, or treatment of disease.</w:t>
      </w:r>
    </w:p>
    <w:p w:rsidR="0015076A" w:rsidRPr="0015076A" w:rsidRDefault="0015076A" w:rsidP="0015076A">
      <w:pPr>
        <w:autoSpaceDE w:val="0"/>
        <w:autoSpaceDN w:val="0"/>
        <w:adjustRightInd w:val="0"/>
        <w:spacing w:line="240" w:lineRule="auto"/>
        <w:jc w:val="both"/>
        <w:rPr>
          <w:rStyle w:val="Strong"/>
          <w:b w:val="0"/>
        </w:rPr>
      </w:pPr>
    </w:p>
    <w:p w:rsidR="000A78AF" w:rsidRDefault="0022628E" w:rsidP="000A78AF">
      <w:pPr>
        <w:pStyle w:val="Heading1"/>
        <w:rPr>
          <w:rStyle w:val="Strong"/>
          <w:b w:val="0"/>
          <w:bCs w:val="0"/>
        </w:rPr>
      </w:pPr>
      <w:bookmarkStart w:id="2" w:name="_Toc479532445"/>
      <w:r w:rsidRPr="0015076A">
        <w:rPr>
          <w:rStyle w:val="Strong"/>
          <w:bCs w:val="0"/>
        </w:rPr>
        <w:t>Kit</w:t>
      </w:r>
      <w:r>
        <w:rPr>
          <w:rStyle w:val="Strong"/>
          <w:b w:val="0"/>
          <w:bCs w:val="0"/>
        </w:rPr>
        <w:t xml:space="preserve"> </w:t>
      </w:r>
      <w:r w:rsidRPr="0015076A">
        <w:rPr>
          <w:rStyle w:val="Strong"/>
          <w:bCs w:val="0"/>
        </w:rPr>
        <w:t>Contents</w:t>
      </w:r>
      <w:bookmarkEnd w:id="2"/>
    </w:p>
    <w:p w:rsidR="004833A9" w:rsidRDefault="004833A9" w:rsidP="004833A9"/>
    <w:p w:rsidR="004833A9" w:rsidRPr="0015076A" w:rsidRDefault="004833A9" w:rsidP="004833A9">
      <w:pPr>
        <w:rPr>
          <w:rStyle w:val="Strong"/>
          <w:bCs w:val="0"/>
        </w:rPr>
      </w:pPr>
      <w:r w:rsidRPr="0015076A">
        <w:rPr>
          <w:b/>
        </w:rPr>
        <w:t>The</w:t>
      </w:r>
      <w:r w:rsidRPr="0015076A">
        <w:t xml:space="preserve"> </w:t>
      </w:r>
      <w:r w:rsidRPr="0015076A">
        <w:rPr>
          <w:rStyle w:val="Strong"/>
          <w:bCs w:val="0"/>
        </w:rPr>
        <w:t>Pro-Mag</w:t>
      </w:r>
      <w:r w:rsidRPr="0015076A">
        <w:rPr>
          <w:rStyle w:val="Strong"/>
          <w:bCs w:val="0"/>
          <w:vertAlign w:val="superscript"/>
        </w:rPr>
        <w:t xml:space="preserve">TM </w:t>
      </w:r>
      <w:r w:rsidRPr="0015076A">
        <w:rPr>
          <w:rStyle w:val="Strong"/>
          <w:bCs w:val="0"/>
        </w:rPr>
        <w:t>RNA Extraction Kit includes the following components: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833A9" w:rsidTr="0015076A">
        <w:tc>
          <w:tcPr>
            <w:tcW w:w="4675" w:type="dxa"/>
            <w:tcBorders>
              <w:bottom w:val="single" w:sz="4" w:space="0" w:color="auto"/>
            </w:tcBorders>
          </w:tcPr>
          <w:p w:rsidR="004833A9" w:rsidRPr="004833A9" w:rsidRDefault="004833A9" w:rsidP="0015076A">
            <w:pPr>
              <w:spacing w:line="360" w:lineRule="auto"/>
              <w:rPr>
                <w:rStyle w:val="Strong"/>
                <w:bCs w:val="0"/>
              </w:rPr>
            </w:pPr>
            <w:r w:rsidRPr="004833A9">
              <w:rPr>
                <w:rStyle w:val="Strong"/>
                <w:bCs w:val="0"/>
              </w:rPr>
              <w:t>Components</w:t>
            </w:r>
          </w:p>
        </w:tc>
        <w:tc>
          <w:tcPr>
            <w:tcW w:w="4675" w:type="dxa"/>
            <w:tcBorders>
              <w:bottom w:val="single" w:sz="4" w:space="0" w:color="auto"/>
            </w:tcBorders>
          </w:tcPr>
          <w:p w:rsidR="004833A9" w:rsidRPr="004833A9" w:rsidRDefault="004833A9" w:rsidP="0015076A">
            <w:pPr>
              <w:spacing w:line="360" w:lineRule="auto"/>
              <w:rPr>
                <w:b/>
              </w:rPr>
            </w:pPr>
            <w:r w:rsidRPr="004833A9">
              <w:rPr>
                <w:b/>
              </w:rPr>
              <w:t>Amount*</w:t>
            </w:r>
          </w:p>
        </w:tc>
      </w:tr>
      <w:tr w:rsidR="004833A9" w:rsidTr="0015076A">
        <w:tc>
          <w:tcPr>
            <w:tcW w:w="4675" w:type="dxa"/>
            <w:tcBorders>
              <w:top w:val="single" w:sz="4" w:space="0" w:color="auto"/>
            </w:tcBorders>
          </w:tcPr>
          <w:p w:rsidR="004833A9" w:rsidRPr="004833A9" w:rsidRDefault="004833A9" w:rsidP="0015076A">
            <w:pPr>
              <w:spacing w:line="360" w:lineRule="auto"/>
            </w:pPr>
            <w:r w:rsidRPr="00A56432">
              <w:rPr>
                <w:rStyle w:val="Strong"/>
                <w:b w:val="0"/>
                <w:bCs w:val="0"/>
              </w:rPr>
              <w:t>Pro-Mag</w:t>
            </w:r>
            <w:r w:rsidRPr="004833A9">
              <w:rPr>
                <w:rStyle w:val="Strong"/>
                <w:b w:val="0"/>
                <w:bCs w:val="0"/>
                <w:vertAlign w:val="superscript"/>
              </w:rPr>
              <w:t>TM</w:t>
            </w:r>
            <w:r>
              <w:rPr>
                <w:rStyle w:val="Strong"/>
                <w:b w:val="0"/>
                <w:bCs w:val="0"/>
                <w:vertAlign w:val="superscript"/>
              </w:rPr>
              <w:t xml:space="preserve"> </w:t>
            </w:r>
            <w:r>
              <w:rPr>
                <w:rStyle w:val="Strong"/>
                <w:b w:val="0"/>
                <w:bCs w:val="0"/>
              </w:rPr>
              <w:t>Lysis Buffer</w:t>
            </w:r>
          </w:p>
        </w:tc>
        <w:tc>
          <w:tcPr>
            <w:tcW w:w="4675" w:type="dxa"/>
            <w:tcBorders>
              <w:top w:val="single" w:sz="4" w:space="0" w:color="auto"/>
            </w:tcBorders>
          </w:tcPr>
          <w:p w:rsidR="004833A9" w:rsidRDefault="004833A9" w:rsidP="0015076A">
            <w:pPr>
              <w:spacing w:line="360" w:lineRule="auto"/>
            </w:pPr>
            <w:r>
              <w:t>110 mL</w:t>
            </w:r>
          </w:p>
        </w:tc>
      </w:tr>
      <w:tr w:rsidR="004833A9" w:rsidTr="0015076A">
        <w:tc>
          <w:tcPr>
            <w:tcW w:w="4675" w:type="dxa"/>
          </w:tcPr>
          <w:p w:rsidR="004833A9" w:rsidRDefault="004833A9" w:rsidP="0015076A">
            <w:pPr>
              <w:spacing w:line="360" w:lineRule="auto"/>
            </w:pPr>
            <w:r w:rsidRPr="00A56432">
              <w:rPr>
                <w:rStyle w:val="Strong"/>
                <w:b w:val="0"/>
                <w:bCs w:val="0"/>
              </w:rPr>
              <w:t>Pro-Mag</w:t>
            </w:r>
            <w:r w:rsidRPr="004833A9">
              <w:rPr>
                <w:rStyle w:val="Strong"/>
                <w:b w:val="0"/>
                <w:bCs w:val="0"/>
                <w:vertAlign w:val="superscript"/>
              </w:rPr>
              <w:t>TM</w:t>
            </w:r>
            <w:r>
              <w:rPr>
                <w:rStyle w:val="Strong"/>
                <w:b w:val="0"/>
                <w:bCs w:val="0"/>
                <w:vertAlign w:val="superscript"/>
              </w:rPr>
              <w:t xml:space="preserve"> </w:t>
            </w:r>
            <w:r>
              <w:rPr>
                <w:rStyle w:val="Strong"/>
                <w:b w:val="0"/>
                <w:bCs w:val="0"/>
              </w:rPr>
              <w:t>Binding Beads</w:t>
            </w:r>
          </w:p>
        </w:tc>
        <w:tc>
          <w:tcPr>
            <w:tcW w:w="4675" w:type="dxa"/>
          </w:tcPr>
          <w:p w:rsidR="004833A9" w:rsidRDefault="004833A9" w:rsidP="0015076A">
            <w:pPr>
              <w:spacing w:line="360" w:lineRule="auto"/>
            </w:pPr>
            <w:r>
              <w:t>2 mL</w:t>
            </w:r>
          </w:p>
        </w:tc>
      </w:tr>
      <w:tr w:rsidR="004833A9" w:rsidTr="0015076A">
        <w:tc>
          <w:tcPr>
            <w:tcW w:w="4675" w:type="dxa"/>
          </w:tcPr>
          <w:p w:rsidR="004833A9" w:rsidRDefault="004833A9" w:rsidP="0015076A">
            <w:pPr>
              <w:spacing w:line="360" w:lineRule="auto"/>
            </w:pPr>
            <w:r w:rsidRPr="00A56432">
              <w:rPr>
                <w:rStyle w:val="Strong"/>
                <w:b w:val="0"/>
                <w:bCs w:val="0"/>
              </w:rPr>
              <w:t>Pro-Mag</w:t>
            </w:r>
            <w:r w:rsidRPr="004833A9">
              <w:rPr>
                <w:rStyle w:val="Strong"/>
                <w:b w:val="0"/>
                <w:bCs w:val="0"/>
                <w:vertAlign w:val="superscript"/>
              </w:rPr>
              <w:t>TM</w:t>
            </w:r>
            <w:r>
              <w:rPr>
                <w:rStyle w:val="Strong"/>
                <w:b w:val="0"/>
                <w:bCs w:val="0"/>
                <w:vertAlign w:val="superscript"/>
              </w:rPr>
              <w:t xml:space="preserve"> </w:t>
            </w:r>
            <w:r>
              <w:rPr>
                <w:rStyle w:val="Strong"/>
                <w:b w:val="0"/>
                <w:bCs w:val="0"/>
              </w:rPr>
              <w:t>Wash Buffer</w:t>
            </w:r>
          </w:p>
        </w:tc>
        <w:tc>
          <w:tcPr>
            <w:tcW w:w="4675" w:type="dxa"/>
          </w:tcPr>
          <w:p w:rsidR="004833A9" w:rsidRDefault="004833A9" w:rsidP="0015076A">
            <w:pPr>
              <w:spacing w:line="360" w:lineRule="auto"/>
            </w:pPr>
            <w:r>
              <w:t>110 mL</w:t>
            </w:r>
          </w:p>
        </w:tc>
      </w:tr>
      <w:tr w:rsidR="004833A9" w:rsidTr="0015076A">
        <w:tc>
          <w:tcPr>
            <w:tcW w:w="4675" w:type="dxa"/>
          </w:tcPr>
          <w:p w:rsidR="004833A9" w:rsidRDefault="004833A9" w:rsidP="0015076A">
            <w:pPr>
              <w:spacing w:line="360" w:lineRule="auto"/>
            </w:pPr>
            <w:r w:rsidRPr="00A56432">
              <w:rPr>
                <w:rStyle w:val="Strong"/>
                <w:b w:val="0"/>
                <w:bCs w:val="0"/>
              </w:rPr>
              <w:t>Pro-Mag</w:t>
            </w:r>
            <w:r w:rsidRPr="004833A9">
              <w:rPr>
                <w:rStyle w:val="Strong"/>
                <w:b w:val="0"/>
                <w:bCs w:val="0"/>
                <w:vertAlign w:val="superscript"/>
              </w:rPr>
              <w:t>TM</w:t>
            </w:r>
            <w:r>
              <w:rPr>
                <w:rStyle w:val="Strong"/>
                <w:b w:val="0"/>
                <w:bCs w:val="0"/>
                <w:vertAlign w:val="superscript"/>
              </w:rPr>
              <w:t xml:space="preserve"> </w:t>
            </w:r>
            <w:r>
              <w:rPr>
                <w:rStyle w:val="Strong"/>
                <w:b w:val="0"/>
                <w:bCs w:val="0"/>
              </w:rPr>
              <w:t>Elution Buffer</w:t>
            </w:r>
          </w:p>
        </w:tc>
        <w:tc>
          <w:tcPr>
            <w:tcW w:w="4675" w:type="dxa"/>
          </w:tcPr>
          <w:p w:rsidR="004833A9" w:rsidRDefault="004833A9" w:rsidP="0015076A">
            <w:pPr>
              <w:spacing w:line="360" w:lineRule="auto"/>
            </w:pPr>
            <w:r>
              <w:t>5 mL</w:t>
            </w:r>
          </w:p>
        </w:tc>
      </w:tr>
    </w:tbl>
    <w:p w:rsidR="004833A9" w:rsidRDefault="004833A9" w:rsidP="004833A9"/>
    <w:p w:rsidR="004833A9" w:rsidRPr="004833A9" w:rsidRDefault="004833A9" w:rsidP="004833A9">
      <w:r>
        <w:t>* Additional reagent may be remaining in some bottles</w:t>
      </w:r>
    </w:p>
    <w:p w:rsidR="0015076A" w:rsidRDefault="0015076A" w:rsidP="004833A9">
      <w:pPr>
        <w:rPr>
          <w:b/>
        </w:rPr>
      </w:pPr>
    </w:p>
    <w:p w:rsidR="004833A9" w:rsidRDefault="0015076A" w:rsidP="004833A9">
      <w:pPr>
        <w:rPr>
          <w:b/>
        </w:rPr>
      </w:pPr>
      <w:r w:rsidRPr="0015076A">
        <w:rPr>
          <w:b/>
        </w:rPr>
        <w:t>Material required by the customer:</w:t>
      </w:r>
    </w:p>
    <w:p w:rsidR="0015076A" w:rsidRPr="0015076A" w:rsidRDefault="0015076A" w:rsidP="0015076A">
      <w:pPr>
        <w:pStyle w:val="ListParagraph"/>
        <w:numPr>
          <w:ilvl w:val="0"/>
          <w:numId w:val="3"/>
        </w:numPr>
        <w:spacing w:after="0" w:line="360" w:lineRule="auto"/>
        <w:rPr>
          <w:rStyle w:val="Strong"/>
          <w:b w:val="0"/>
        </w:rPr>
      </w:pPr>
      <w:r w:rsidRPr="0015076A">
        <w:rPr>
          <w:rStyle w:val="Strong"/>
          <w:b w:val="0"/>
        </w:rPr>
        <w:t xml:space="preserve">Magnetic Separation device </w:t>
      </w:r>
    </w:p>
    <w:p w:rsidR="0015076A" w:rsidRPr="0015076A" w:rsidRDefault="0015076A" w:rsidP="0015076A">
      <w:pPr>
        <w:pStyle w:val="ListParagraph"/>
        <w:numPr>
          <w:ilvl w:val="0"/>
          <w:numId w:val="3"/>
        </w:numPr>
        <w:spacing w:after="0" w:line="360" w:lineRule="auto"/>
        <w:rPr>
          <w:rStyle w:val="Strong"/>
          <w:b w:val="0"/>
        </w:rPr>
      </w:pPr>
      <w:r w:rsidRPr="0015076A">
        <w:rPr>
          <w:rStyle w:val="Strong"/>
          <w:b w:val="0"/>
        </w:rPr>
        <w:t xml:space="preserve">Vortex (for liquid samples) </w:t>
      </w:r>
    </w:p>
    <w:p w:rsidR="0015076A" w:rsidRPr="0015076A" w:rsidRDefault="0015076A" w:rsidP="0015076A">
      <w:pPr>
        <w:pStyle w:val="ListParagraph"/>
        <w:numPr>
          <w:ilvl w:val="0"/>
          <w:numId w:val="3"/>
        </w:numPr>
        <w:spacing w:after="0" w:line="360" w:lineRule="auto"/>
        <w:rPr>
          <w:rStyle w:val="Strong"/>
          <w:b w:val="0"/>
        </w:rPr>
      </w:pPr>
      <w:r w:rsidRPr="0015076A">
        <w:rPr>
          <w:rStyle w:val="Strong"/>
          <w:b w:val="0"/>
        </w:rPr>
        <w:t xml:space="preserve">Homogenization device: Bead mixer </w:t>
      </w:r>
      <w:r>
        <w:rPr>
          <w:rStyle w:val="Strong"/>
          <w:b w:val="0"/>
        </w:rPr>
        <w:t>with 1, 3mm copper coated BB</w:t>
      </w:r>
      <w:r w:rsidRPr="0015076A">
        <w:rPr>
          <w:rStyle w:val="Strong"/>
          <w:b w:val="0"/>
        </w:rPr>
        <w:t xml:space="preserve"> (for plant or animal tissue)</w:t>
      </w:r>
      <w:r w:rsidR="00C53E88">
        <w:rPr>
          <w:rStyle w:val="Strong"/>
          <w:b w:val="0"/>
        </w:rPr>
        <w:t xml:space="preserve"> or Rotor Stator Homogenizer </w:t>
      </w:r>
    </w:p>
    <w:p w:rsidR="0015076A" w:rsidRPr="0015076A" w:rsidRDefault="00821E1E" w:rsidP="0015076A">
      <w:pPr>
        <w:pStyle w:val="ListParagraph"/>
        <w:numPr>
          <w:ilvl w:val="0"/>
          <w:numId w:val="3"/>
        </w:numPr>
        <w:spacing w:after="0" w:line="360" w:lineRule="auto"/>
        <w:rPr>
          <w:rStyle w:val="Strong"/>
          <w:b w:val="0"/>
        </w:rPr>
      </w:pPr>
      <w:r>
        <w:rPr>
          <w:rStyle w:val="Strong"/>
          <w:b w:val="0"/>
        </w:rPr>
        <w:t>Micro</w:t>
      </w:r>
      <w:r w:rsidR="00E90AAE">
        <w:rPr>
          <w:rStyle w:val="Strong"/>
          <w:b w:val="0"/>
        </w:rPr>
        <w:t>c</w:t>
      </w:r>
      <w:r w:rsidR="0015076A" w:rsidRPr="0015076A">
        <w:rPr>
          <w:rStyle w:val="Strong"/>
          <w:b w:val="0"/>
        </w:rPr>
        <w:t>entrifuge</w:t>
      </w:r>
      <w:r>
        <w:rPr>
          <w:rStyle w:val="Strong"/>
          <w:b w:val="0"/>
        </w:rPr>
        <w:t xml:space="preserve"> (&gt;12,000 x g)</w:t>
      </w:r>
    </w:p>
    <w:p w:rsidR="0015076A" w:rsidRPr="0015076A" w:rsidRDefault="0015076A" w:rsidP="0015076A">
      <w:pPr>
        <w:pStyle w:val="ListParagraph"/>
        <w:numPr>
          <w:ilvl w:val="0"/>
          <w:numId w:val="3"/>
        </w:numPr>
        <w:spacing w:after="0" w:line="360" w:lineRule="auto"/>
        <w:rPr>
          <w:rStyle w:val="Strong"/>
          <w:b w:val="0"/>
        </w:rPr>
      </w:pPr>
      <w:r w:rsidRPr="0015076A">
        <w:rPr>
          <w:rStyle w:val="Strong"/>
          <w:b w:val="0"/>
        </w:rPr>
        <w:t>Water Bath</w:t>
      </w:r>
    </w:p>
    <w:p w:rsidR="0015076A" w:rsidRDefault="0015076A" w:rsidP="0015076A">
      <w:pPr>
        <w:pStyle w:val="ListParagraph"/>
        <w:numPr>
          <w:ilvl w:val="0"/>
          <w:numId w:val="3"/>
        </w:numPr>
        <w:spacing w:after="0" w:line="360" w:lineRule="auto"/>
        <w:rPr>
          <w:rStyle w:val="Strong"/>
          <w:b w:val="0"/>
        </w:rPr>
      </w:pPr>
      <w:r w:rsidRPr="0015076A">
        <w:rPr>
          <w:rStyle w:val="Strong"/>
          <w:b w:val="0"/>
        </w:rPr>
        <w:t>1.5mL-2.0mL R</w:t>
      </w:r>
      <w:r w:rsidR="00E90AAE">
        <w:rPr>
          <w:rStyle w:val="Strong"/>
          <w:b w:val="0"/>
        </w:rPr>
        <w:t>N</w:t>
      </w:r>
      <w:r w:rsidRPr="0015076A">
        <w:rPr>
          <w:rStyle w:val="Strong"/>
          <w:b w:val="0"/>
        </w:rPr>
        <w:t>ase/D</w:t>
      </w:r>
      <w:r w:rsidR="00E90AAE">
        <w:rPr>
          <w:rStyle w:val="Strong"/>
          <w:b w:val="0"/>
        </w:rPr>
        <w:t>N</w:t>
      </w:r>
      <w:r w:rsidRPr="0015076A">
        <w:rPr>
          <w:rStyle w:val="Strong"/>
          <w:b w:val="0"/>
        </w:rPr>
        <w:t>ase-free microcentrifuge tubes</w:t>
      </w:r>
    </w:p>
    <w:p w:rsidR="008204A8" w:rsidRPr="0015076A" w:rsidRDefault="008204A8" w:rsidP="0015076A">
      <w:pPr>
        <w:pStyle w:val="ListParagraph"/>
        <w:numPr>
          <w:ilvl w:val="0"/>
          <w:numId w:val="3"/>
        </w:numPr>
        <w:spacing w:after="0" w:line="360" w:lineRule="auto"/>
        <w:rPr>
          <w:rStyle w:val="Strong"/>
          <w:b w:val="0"/>
        </w:rPr>
      </w:pPr>
      <w:r>
        <w:rPr>
          <w:rStyle w:val="Strong"/>
          <w:b w:val="0"/>
        </w:rPr>
        <w:t xml:space="preserve">Optional: Molecular grade Ethanol (ETOH), 70% </w:t>
      </w:r>
    </w:p>
    <w:p w:rsidR="0015076A" w:rsidRPr="0015076A" w:rsidRDefault="0015076A" w:rsidP="004833A9">
      <w:pPr>
        <w:rPr>
          <w:b/>
        </w:rPr>
      </w:pPr>
    </w:p>
    <w:p w:rsidR="004833A9" w:rsidRDefault="0022628E" w:rsidP="006547C7">
      <w:pPr>
        <w:pStyle w:val="Heading1"/>
        <w:rPr>
          <w:b/>
        </w:rPr>
      </w:pPr>
      <w:bookmarkStart w:id="3" w:name="_Toc479532446"/>
      <w:r w:rsidRPr="0015076A">
        <w:rPr>
          <w:b/>
        </w:rPr>
        <w:t>Storage</w:t>
      </w:r>
      <w:bookmarkEnd w:id="3"/>
    </w:p>
    <w:p w:rsidR="006547C7" w:rsidRPr="006547C7" w:rsidRDefault="006547C7" w:rsidP="006547C7"/>
    <w:p w:rsidR="006547C7" w:rsidRPr="006547C7" w:rsidRDefault="006547C7" w:rsidP="006547C7">
      <w:pPr>
        <w:pStyle w:val="ListParagraph"/>
        <w:spacing w:after="0" w:line="360" w:lineRule="auto"/>
        <w:ind w:left="360"/>
        <w:jc w:val="both"/>
        <w:rPr>
          <w:rStyle w:val="Strong"/>
          <w:b w:val="0"/>
          <w:bCs w:val="0"/>
        </w:rPr>
      </w:pPr>
      <w:r w:rsidRPr="006547C7">
        <w:rPr>
          <w:rStyle w:val="Strong"/>
          <w:b w:val="0"/>
          <w:bCs w:val="0"/>
        </w:rPr>
        <w:t>The Pro-Mag</w:t>
      </w:r>
      <w:bookmarkStart w:id="4" w:name="_GoBack"/>
      <w:r w:rsidRPr="006547C7">
        <w:rPr>
          <w:rStyle w:val="Strong"/>
          <w:b w:val="0"/>
          <w:bCs w:val="0"/>
          <w:vertAlign w:val="superscript"/>
        </w:rPr>
        <w:t>TM</w:t>
      </w:r>
      <w:bookmarkEnd w:id="4"/>
      <w:r w:rsidRPr="006547C7">
        <w:rPr>
          <w:rStyle w:val="Strong"/>
          <w:b w:val="0"/>
          <w:bCs w:val="0"/>
        </w:rPr>
        <w:t xml:space="preserve"> RNA Extraction Lysis Buffer should be stored at room temperature. The remainder of kit should be stored at 2-8°C and is stable for at least 6 months under these conditions. Do not freeze. Gently invert lysis buffer by hand prior to use.  For optimal use, keep wash buffer cold during wash step. </w:t>
      </w:r>
    </w:p>
    <w:p w:rsidR="0022628E" w:rsidRDefault="0022628E" w:rsidP="00821E1E"/>
    <w:p w:rsidR="0022628E" w:rsidRDefault="0022628E" w:rsidP="0022628E">
      <w:pPr>
        <w:pStyle w:val="Heading1"/>
        <w:rPr>
          <w:b/>
        </w:rPr>
      </w:pPr>
      <w:bookmarkStart w:id="5" w:name="_Toc479532447"/>
      <w:r w:rsidRPr="0015076A">
        <w:rPr>
          <w:b/>
        </w:rPr>
        <w:t>Safety</w:t>
      </w:r>
      <w:r>
        <w:t xml:space="preserve"> </w:t>
      </w:r>
      <w:r w:rsidRPr="0015076A">
        <w:rPr>
          <w:b/>
        </w:rPr>
        <w:t>Information</w:t>
      </w:r>
      <w:bookmarkEnd w:id="5"/>
    </w:p>
    <w:p w:rsidR="00821E1E" w:rsidRDefault="00A712BB" w:rsidP="00821E1E">
      <w:r>
        <w:t xml:space="preserve"> </w:t>
      </w:r>
      <w:r w:rsidR="007D3893">
        <w:t xml:space="preserve"> </w:t>
      </w:r>
    </w:p>
    <w:p w:rsidR="00CD63A1" w:rsidRPr="007C1DD9" w:rsidRDefault="00CD63A1" w:rsidP="007C1DD9">
      <w:pPr>
        <w:pStyle w:val="ListParagraph"/>
        <w:numPr>
          <w:ilvl w:val="0"/>
          <w:numId w:val="6"/>
        </w:numPr>
        <w:spacing w:after="0" w:line="360" w:lineRule="auto"/>
        <w:jc w:val="both"/>
        <w:rPr>
          <w:rStyle w:val="Strong"/>
          <w:b w:val="0"/>
        </w:rPr>
      </w:pPr>
      <w:r w:rsidRPr="007C1DD9">
        <w:rPr>
          <w:rStyle w:val="Strong"/>
          <w:b w:val="0"/>
        </w:rPr>
        <w:t xml:space="preserve">Always wear PPE when working with chemicals or biohazardous materials. Refer to Safety Data Sheets (SDS) for chemical information. </w:t>
      </w:r>
    </w:p>
    <w:p w:rsidR="00CD63A1" w:rsidRPr="007C1DD9" w:rsidRDefault="00CD63A1" w:rsidP="007C1DD9">
      <w:pPr>
        <w:pStyle w:val="ListParagraph"/>
        <w:numPr>
          <w:ilvl w:val="0"/>
          <w:numId w:val="6"/>
        </w:numPr>
        <w:spacing w:after="0" w:line="360" w:lineRule="auto"/>
        <w:jc w:val="both"/>
        <w:rPr>
          <w:rStyle w:val="Strong"/>
          <w:b w:val="0"/>
        </w:rPr>
      </w:pPr>
      <w:r w:rsidRPr="007C1DD9">
        <w:rPr>
          <w:rStyle w:val="Strong"/>
          <w:b w:val="0"/>
        </w:rPr>
        <w:t xml:space="preserve">Do not add bleach or acidic solutions directly to the sample preparation waste. If </w:t>
      </w:r>
      <w:r w:rsidR="007C1DD9">
        <w:rPr>
          <w:rStyle w:val="Strong"/>
          <w:b w:val="0"/>
        </w:rPr>
        <w:t>required to clean a spill</w:t>
      </w:r>
      <w:r w:rsidRPr="007C1DD9">
        <w:rPr>
          <w:rStyle w:val="Strong"/>
          <w:b w:val="0"/>
        </w:rPr>
        <w:t>, first clean with a lab detergent and water, and then 1% (v/v) bleach solution.</w:t>
      </w:r>
    </w:p>
    <w:p w:rsidR="00CD63A1" w:rsidRPr="007C1DD9" w:rsidRDefault="00CD63A1" w:rsidP="007C1DD9">
      <w:pPr>
        <w:pStyle w:val="ListParagraph"/>
        <w:numPr>
          <w:ilvl w:val="0"/>
          <w:numId w:val="6"/>
        </w:numPr>
        <w:spacing w:after="0" w:line="360" w:lineRule="auto"/>
        <w:jc w:val="both"/>
        <w:rPr>
          <w:rStyle w:val="Strong"/>
          <w:b w:val="0"/>
        </w:rPr>
      </w:pPr>
      <w:r w:rsidRPr="007C1DD9">
        <w:rPr>
          <w:rStyle w:val="Strong"/>
          <w:b w:val="0"/>
        </w:rPr>
        <w:t>The buffers contain sodium azide (0.05</w:t>
      </w:r>
      <w:r w:rsidR="007C1DD9" w:rsidRPr="007C1DD9">
        <w:rPr>
          <w:rStyle w:val="Strong"/>
          <w:b w:val="0"/>
        </w:rPr>
        <w:t xml:space="preserve">%) as a preservative. Sodium </w:t>
      </w:r>
      <w:r w:rsidR="007C1DD9">
        <w:rPr>
          <w:rStyle w:val="Strong"/>
          <w:b w:val="0"/>
        </w:rPr>
        <w:t>a</w:t>
      </w:r>
      <w:r w:rsidR="007C1DD9" w:rsidRPr="007C1DD9">
        <w:rPr>
          <w:rStyle w:val="Strong"/>
          <w:b w:val="0"/>
        </w:rPr>
        <w:t xml:space="preserve">zide has the potential to react </w:t>
      </w:r>
      <w:r w:rsidR="007C1DD9">
        <w:rPr>
          <w:rStyle w:val="Strong"/>
          <w:b w:val="0"/>
        </w:rPr>
        <w:t xml:space="preserve">explosively </w:t>
      </w:r>
      <w:r w:rsidR="007C1DD9" w:rsidRPr="007C1DD9">
        <w:rPr>
          <w:rStyle w:val="Strong"/>
          <w:b w:val="0"/>
        </w:rPr>
        <w:t>with metals commonly found in the plumbing infrastructure,</w:t>
      </w:r>
      <w:r w:rsidR="007C1DD9">
        <w:rPr>
          <w:rStyle w:val="Strong"/>
          <w:b w:val="0"/>
        </w:rPr>
        <w:t xml:space="preserve"> do not dispose of unused reagents down the drain. </w:t>
      </w:r>
    </w:p>
    <w:p w:rsidR="00821E1E" w:rsidRPr="00821E1E" w:rsidRDefault="00821E1E" w:rsidP="00821E1E"/>
    <w:p w:rsidR="0022628E" w:rsidRDefault="0022628E" w:rsidP="0022628E">
      <w:pPr>
        <w:pStyle w:val="Heading1"/>
        <w:rPr>
          <w:b/>
        </w:rPr>
      </w:pPr>
      <w:bookmarkStart w:id="6" w:name="_Toc479532448"/>
      <w:r w:rsidRPr="0015076A">
        <w:rPr>
          <w:b/>
        </w:rPr>
        <w:t>Protocol</w:t>
      </w:r>
      <w:bookmarkEnd w:id="6"/>
    </w:p>
    <w:p w:rsidR="007C1DD9" w:rsidRDefault="007C1DD9" w:rsidP="007C1DD9"/>
    <w:p w:rsidR="003D6406" w:rsidRPr="003D6406" w:rsidRDefault="003D6406" w:rsidP="00B921B5">
      <w:pPr>
        <w:spacing w:after="0" w:line="360" w:lineRule="auto"/>
        <w:jc w:val="both"/>
        <w:rPr>
          <w:rStyle w:val="Strong"/>
        </w:rPr>
      </w:pPr>
      <w:r w:rsidRPr="003D6406">
        <w:rPr>
          <w:rStyle w:val="Strong"/>
        </w:rPr>
        <w:t xml:space="preserve">Sample Preparation: </w:t>
      </w:r>
    </w:p>
    <w:p w:rsidR="00B921B5" w:rsidRPr="00B921B5" w:rsidRDefault="00B921B5" w:rsidP="00B921B5">
      <w:pPr>
        <w:spacing w:after="0" w:line="360" w:lineRule="auto"/>
        <w:jc w:val="both"/>
        <w:rPr>
          <w:rStyle w:val="Strong"/>
          <w:b w:val="0"/>
        </w:rPr>
      </w:pPr>
      <w:r w:rsidRPr="00B921B5">
        <w:rPr>
          <w:rStyle w:val="Strong"/>
          <w:b w:val="0"/>
          <w:bCs w:val="0"/>
        </w:rPr>
        <w:t>Starting Sample in Solution</w:t>
      </w:r>
      <w:r w:rsidR="003D6406">
        <w:rPr>
          <w:rStyle w:val="Strong"/>
          <w:b w:val="0"/>
          <w:bCs w:val="0"/>
        </w:rPr>
        <w:t>-</w:t>
      </w:r>
    </w:p>
    <w:p w:rsidR="00B921B5" w:rsidRPr="003D6406" w:rsidRDefault="00B921B5" w:rsidP="003D6406">
      <w:pPr>
        <w:pStyle w:val="ListParagraph"/>
        <w:numPr>
          <w:ilvl w:val="0"/>
          <w:numId w:val="10"/>
        </w:numPr>
        <w:spacing w:after="0" w:line="360" w:lineRule="auto"/>
        <w:jc w:val="both"/>
        <w:rPr>
          <w:rStyle w:val="Strong"/>
          <w:b w:val="0"/>
          <w:bCs w:val="0"/>
        </w:rPr>
      </w:pPr>
      <w:r w:rsidRPr="003D6406">
        <w:rPr>
          <w:rStyle w:val="Strong"/>
          <w:b w:val="0"/>
          <w:bCs w:val="0"/>
        </w:rPr>
        <w:t xml:space="preserve">Add </w:t>
      </w:r>
      <w:r w:rsidR="003D6406">
        <w:rPr>
          <w:rStyle w:val="Strong"/>
          <w:b w:val="0"/>
          <w:bCs w:val="0"/>
        </w:rPr>
        <w:t>500 µL</w:t>
      </w:r>
      <w:r w:rsidR="008204A8">
        <w:rPr>
          <w:rStyle w:val="Strong"/>
          <w:b w:val="0"/>
          <w:bCs w:val="0"/>
        </w:rPr>
        <w:t>- 1 mL</w:t>
      </w:r>
      <w:r w:rsidRPr="003D6406">
        <w:rPr>
          <w:rStyle w:val="Strong"/>
          <w:b w:val="0"/>
          <w:bCs w:val="0"/>
        </w:rPr>
        <w:t xml:space="preserve"> lysis buffer to </w:t>
      </w:r>
      <w:r w:rsidR="003D6406">
        <w:rPr>
          <w:rStyle w:val="Strong"/>
          <w:b w:val="0"/>
          <w:bCs w:val="0"/>
        </w:rPr>
        <w:t>sample</w:t>
      </w:r>
      <w:r w:rsidRPr="003D6406">
        <w:rPr>
          <w:rStyle w:val="Strong"/>
          <w:b w:val="0"/>
          <w:bCs w:val="0"/>
        </w:rPr>
        <w:t xml:space="preserve"> and </w:t>
      </w:r>
      <w:r w:rsidR="003D6406">
        <w:rPr>
          <w:rStyle w:val="Strong"/>
          <w:b w:val="0"/>
          <w:bCs w:val="0"/>
        </w:rPr>
        <w:t xml:space="preserve">vigorously </w:t>
      </w:r>
      <w:r w:rsidRPr="003D6406">
        <w:rPr>
          <w:rStyle w:val="Strong"/>
          <w:b w:val="0"/>
          <w:bCs w:val="0"/>
        </w:rPr>
        <w:t>vortex for 30 sec.</w:t>
      </w:r>
    </w:p>
    <w:p w:rsidR="00B921B5" w:rsidRPr="003D6406" w:rsidRDefault="00B921B5" w:rsidP="003D6406">
      <w:pPr>
        <w:pStyle w:val="ListParagraph"/>
        <w:numPr>
          <w:ilvl w:val="0"/>
          <w:numId w:val="10"/>
        </w:numPr>
        <w:spacing w:after="0" w:line="360" w:lineRule="auto"/>
        <w:jc w:val="both"/>
        <w:rPr>
          <w:rStyle w:val="Strong"/>
          <w:b w:val="0"/>
          <w:bCs w:val="0"/>
        </w:rPr>
      </w:pPr>
      <w:r w:rsidRPr="003D6406">
        <w:rPr>
          <w:rStyle w:val="Strong"/>
          <w:b w:val="0"/>
          <w:bCs w:val="0"/>
        </w:rPr>
        <w:t>Centrifuge at 12,000 rpm for 1 min.</w:t>
      </w:r>
    </w:p>
    <w:p w:rsidR="008204A8" w:rsidRDefault="00B921B5" w:rsidP="008204A8">
      <w:pPr>
        <w:pStyle w:val="ListParagraph"/>
        <w:numPr>
          <w:ilvl w:val="0"/>
          <w:numId w:val="10"/>
        </w:numPr>
        <w:spacing w:after="0" w:line="360" w:lineRule="auto"/>
        <w:jc w:val="both"/>
        <w:rPr>
          <w:rStyle w:val="Strong"/>
          <w:b w:val="0"/>
          <w:bCs w:val="0"/>
        </w:rPr>
      </w:pPr>
      <w:r w:rsidRPr="003D6406">
        <w:rPr>
          <w:rStyle w:val="Strong"/>
          <w:b w:val="0"/>
          <w:bCs w:val="0"/>
        </w:rPr>
        <w:t>Transfer supernatant to a clean 1.5 mL tube</w:t>
      </w:r>
      <w:r w:rsidR="003D6406">
        <w:rPr>
          <w:rStyle w:val="Strong"/>
          <w:b w:val="0"/>
          <w:bCs w:val="0"/>
        </w:rPr>
        <w:t xml:space="preserve"> </w:t>
      </w:r>
      <w:r w:rsidR="00E90AAE">
        <w:rPr>
          <w:rStyle w:val="Strong"/>
          <w:b w:val="0"/>
          <w:bCs w:val="0"/>
        </w:rPr>
        <w:t>DNase</w:t>
      </w:r>
      <w:r w:rsidR="003D6406">
        <w:rPr>
          <w:rStyle w:val="Strong"/>
          <w:b w:val="0"/>
          <w:bCs w:val="0"/>
        </w:rPr>
        <w:t>/</w:t>
      </w:r>
      <w:r w:rsidR="00E90AAE">
        <w:rPr>
          <w:rStyle w:val="Strong"/>
          <w:b w:val="0"/>
          <w:bCs w:val="0"/>
        </w:rPr>
        <w:t>RNase</w:t>
      </w:r>
      <w:r w:rsidR="003D6406">
        <w:rPr>
          <w:rStyle w:val="Strong"/>
          <w:b w:val="0"/>
          <w:bCs w:val="0"/>
        </w:rPr>
        <w:t>-free tube</w:t>
      </w:r>
    </w:p>
    <w:p w:rsidR="008204A8" w:rsidRPr="008204A8" w:rsidRDefault="008204A8" w:rsidP="008204A8">
      <w:pPr>
        <w:pStyle w:val="ListParagraph"/>
        <w:numPr>
          <w:ilvl w:val="0"/>
          <w:numId w:val="10"/>
        </w:numPr>
        <w:spacing w:after="0" w:line="360" w:lineRule="auto"/>
        <w:jc w:val="both"/>
        <w:rPr>
          <w:rStyle w:val="Strong"/>
          <w:b w:val="0"/>
          <w:bCs w:val="0"/>
        </w:rPr>
      </w:pPr>
      <w:r>
        <w:rPr>
          <w:rStyle w:val="Strong"/>
          <w:b w:val="0"/>
          <w:bCs w:val="0"/>
        </w:rPr>
        <w:t>[Optional Step to increase RNA concentration]: Add an equal volume of 70% ETOH</w:t>
      </w:r>
    </w:p>
    <w:p w:rsidR="00B921B5" w:rsidRPr="00B921B5" w:rsidRDefault="00B921B5" w:rsidP="00B921B5">
      <w:pPr>
        <w:spacing w:after="0" w:line="360" w:lineRule="auto"/>
        <w:jc w:val="both"/>
        <w:rPr>
          <w:rStyle w:val="Strong"/>
          <w:b w:val="0"/>
          <w:bCs w:val="0"/>
        </w:rPr>
      </w:pPr>
    </w:p>
    <w:p w:rsidR="00B921B5" w:rsidRPr="00B921B5" w:rsidRDefault="00B921B5" w:rsidP="00B921B5">
      <w:pPr>
        <w:spacing w:after="0" w:line="360" w:lineRule="auto"/>
        <w:jc w:val="both"/>
        <w:rPr>
          <w:rStyle w:val="Strong"/>
          <w:b w:val="0"/>
          <w:bCs w:val="0"/>
        </w:rPr>
      </w:pPr>
      <w:r w:rsidRPr="00B921B5">
        <w:rPr>
          <w:rStyle w:val="Strong"/>
          <w:b w:val="0"/>
          <w:bCs w:val="0"/>
        </w:rPr>
        <w:t>Starting Sample, Frozen</w:t>
      </w:r>
      <w:r w:rsidR="00855D5B">
        <w:rPr>
          <w:rStyle w:val="Strong"/>
          <w:b w:val="0"/>
          <w:bCs w:val="0"/>
        </w:rPr>
        <w:t xml:space="preserve"> or fibrous</w:t>
      </w:r>
      <w:r w:rsidR="003D6406">
        <w:rPr>
          <w:rStyle w:val="Strong"/>
          <w:b w:val="0"/>
          <w:bCs w:val="0"/>
        </w:rPr>
        <w:t>-</w:t>
      </w:r>
      <w:r w:rsidRPr="00B921B5">
        <w:rPr>
          <w:rStyle w:val="Strong"/>
          <w:b w:val="0"/>
          <w:bCs w:val="0"/>
        </w:rPr>
        <w:t xml:space="preserve"> </w:t>
      </w:r>
    </w:p>
    <w:p w:rsidR="00B921B5" w:rsidRPr="003D6406" w:rsidRDefault="00B921B5" w:rsidP="003D6406">
      <w:pPr>
        <w:pStyle w:val="ListParagraph"/>
        <w:numPr>
          <w:ilvl w:val="0"/>
          <w:numId w:val="11"/>
        </w:numPr>
        <w:spacing w:after="0" w:line="360" w:lineRule="auto"/>
        <w:jc w:val="both"/>
        <w:rPr>
          <w:rStyle w:val="Strong"/>
          <w:b w:val="0"/>
          <w:bCs w:val="0"/>
        </w:rPr>
      </w:pPr>
      <w:r w:rsidRPr="003D6406">
        <w:rPr>
          <w:rStyle w:val="Strong"/>
          <w:b w:val="0"/>
          <w:bCs w:val="0"/>
        </w:rPr>
        <w:t xml:space="preserve">Add 1 </w:t>
      </w:r>
      <w:r w:rsidR="003D6406">
        <w:rPr>
          <w:rStyle w:val="Strong"/>
          <w:b w:val="0"/>
          <w:bCs w:val="0"/>
        </w:rPr>
        <w:t xml:space="preserve">copper-coated </w:t>
      </w:r>
      <w:r w:rsidRPr="003D6406">
        <w:rPr>
          <w:rStyle w:val="Strong"/>
          <w:b w:val="0"/>
          <w:bCs w:val="0"/>
        </w:rPr>
        <w:t>ball (3mm) to a 1.5-2.0 mL tube-containing sample</w:t>
      </w:r>
    </w:p>
    <w:p w:rsidR="00B921B5" w:rsidRPr="003D6406" w:rsidRDefault="00B921B5" w:rsidP="003D6406">
      <w:pPr>
        <w:pStyle w:val="ListParagraph"/>
        <w:numPr>
          <w:ilvl w:val="0"/>
          <w:numId w:val="11"/>
        </w:numPr>
        <w:spacing w:after="0" w:line="360" w:lineRule="auto"/>
        <w:jc w:val="both"/>
        <w:rPr>
          <w:rStyle w:val="Strong"/>
          <w:b w:val="0"/>
          <w:bCs w:val="0"/>
        </w:rPr>
      </w:pPr>
      <w:r w:rsidRPr="003D6406">
        <w:rPr>
          <w:rStyle w:val="Strong"/>
          <w:b w:val="0"/>
          <w:bCs w:val="0"/>
        </w:rPr>
        <w:t xml:space="preserve">Add </w:t>
      </w:r>
      <w:r w:rsidR="003D6406">
        <w:rPr>
          <w:rStyle w:val="Strong"/>
          <w:b w:val="0"/>
          <w:bCs w:val="0"/>
        </w:rPr>
        <w:t xml:space="preserve">500 µL- </w:t>
      </w:r>
      <w:r w:rsidRPr="003D6406">
        <w:rPr>
          <w:rStyle w:val="Strong"/>
          <w:b w:val="0"/>
          <w:bCs w:val="0"/>
        </w:rPr>
        <w:t xml:space="preserve">1 mL lysis buffer to sample </w:t>
      </w:r>
    </w:p>
    <w:p w:rsidR="00B921B5" w:rsidRPr="003D6406" w:rsidRDefault="00B921B5" w:rsidP="003D6406">
      <w:pPr>
        <w:pStyle w:val="ListParagraph"/>
        <w:numPr>
          <w:ilvl w:val="0"/>
          <w:numId w:val="11"/>
        </w:numPr>
        <w:spacing w:after="0" w:line="360" w:lineRule="auto"/>
        <w:jc w:val="both"/>
        <w:rPr>
          <w:rStyle w:val="Strong"/>
          <w:b w:val="0"/>
          <w:bCs w:val="0"/>
        </w:rPr>
      </w:pPr>
      <w:r w:rsidRPr="003D6406">
        <w:rPr>
          <w:rStyle w:val="Strong"/>
          <w:b w:val="0"/>
          <w:bCs w:val="0"/>
        </w:rPr>
        <w:t>Homogenize in bead mixer for 35 sec., max speed</w:t>
      </w:r>
    </w:p>
    <w:p w:rsidR="00B921B5" w:rsidRPr="003D6406" w:rsidRDefault="00B921B5" w:rsidP="003D6406">
      <w:pPr>
        <w:pStyle w:val="ListParagraph"/>
        <w:numPr>
          <w:ilvl w:val="0"/>
          <w:numId w:val="11"/>
        </w:numPr>
        <w:spacing w:after="0" w:line="360" w:lineRule="auto"/>
        <w:jc w:val="both"/>
        <w:rPr>
          <w:rStyle w:val="Strong"/>
          <w:b w:val="0"/>
          <w:bCs w:val="0"/>
        </w:rPr>
      </w:pPr>
      <w:r w:rsidRPr="003D6406">
        <w:rPr>
          <w:rStyle w:val="Strong"/>
          <w:b w:val="0"/>
          <w:bCs w:val="0"/>
        </w:rPr>
        <w:t>Centrifuge at 12,000 rpm for 1 min.</w:t>
      </w:r>
    </w:p>
    <w:p w:rsidR="00B921B5" w:rsidRDefault="00B921B5" w:rsidP="003D6406">
      <w:pPr>
        <w:pStyle w:val="ListParagraph"/>
        <w:numPr>
          <w:ilvl w:val="0"/>
          <w:numId w:val="11"/>
        </w:numPr>
        <w:spacing w:after="0" w:line="360" w:lineRule="auto"/>
        <w:jc w:val="both"/>
        <w:rPr>
          <w:rStyle w:val="Strong"/>
          <w:b w:val="0"/>
          <w:bCs w:val="0"/>
        </w:rPr>
      </w:pPr>
      <w:r w:rsidRPr="003D6406">
        <w:rPr>
          <w:rStyle w:val="Strong"/>
          <w:b w:val="0"/>
          <w:bCs w:val="0"/>
        </w:rPr>
        <w:t xml:space="preserve">Transfer supernatant to a clean 1.5 mL </w:t>
      </w:r>
      <w:r w:rsidR="00E90AAE" w:rsidRPr="003D6406">
        <w:rPr>
          <w:rStyle w:val="Strong"/>
          <w:b w:val="0"/>
          <w:bCs w:val="0"/>
        </w:rPr>
        <w:t>DNase</w:t>
      </w:r>
      <w:r w:rsidRPr="003D6406">
        <w:rPr>
          <w:rStyle w:val="Strong"/>
          <w:b w:val="0"/>
          <w:bCs w:val="0"/>
        </w:rPr>
        <w:t>/</w:t>
      </w:r>
      <w:r w:rsidR="00E90AAE">
        <w:rPr>
          <w:rStyle w:val="Strong"/>
          <w:b w:val="0"/>
          <w:bCs w:val="0"/>
        </w:rPr>
        <w:t>RNase</w:t>
      </w:r>
      <w:r w:rsidRPr="003D6406">
        <w:rPr>
          <w:rStyle w:val="Strong"/>
          <w:b w:val="0"/>
          <w:bCs w:val="0"/>
        </w:rPr>
        <w:t>-free tube</w:t>
      </w:r>
    </w:p>
    <w:p w:rsidR="008204A8" w:rsidRPr="008204A8" w:rsidRDefault="008204A8" w:rsidP="008204A8">
      <w:pPr>
        <w:pStyle w:val="ListParagraph"/>
        <w:numPr>
          <w:ilvl w:val="0"/>
          <w:numId w:val="11"/>
        </w:numPr>
        <w:spacing w:after="0" w:line="360" w:lineRule="auto"/>
        <w:jc w:val="both"/>
        <w:rPr>
          <w:rStyle w:val="Strong"/>
          <w:b w:val="0"/>
          <w:bCs w:val="0"/>
        </w:rPr>
      </w:pPr>
      <w:r>
        <w:rPr>
          <w:rStyle w:val="Strong"/>
          <w:b w:val="0"/>
          <w:bCs w:val="0"/>
        </w:rPr>
        <w:t>[Optional Step to increase RNA concentration]: Add an equal volume of 70% ETOH</w:t>
      </w:r>
    </w:p>
    <w:p w:rsidR="00B921B5" w:rsidRPr="00B921B5" w:rsidRDefault="00B921B5" w:rsidP="00B921B5">
      <w:pPr>
        <w:spacing w:after="0" w:line="360" w:lineRule="auto"/>
        <w:jc w:val="both"/>
        <w:rPr>
          <w:rStyle w:val="Strong"/>
          <w:b w:val="0"/>
          <w:bCs w:val="0"/>
        </w:rPr>
      </w:pPr>
    </w:p>
    <w:p w:rsidR="00B921B5" w:rsidRPr="003D6406" w:rsidRDefault="003D6406" w:rsidP="00B921B5">
      <w:pPr>
        <w:spacing w:after="0" w:line="360" w:lineRule="auto"/>
        <w:jc w:val="both"/>
        <w:rPr>
          <w:rStyle w:val="Strong"/>
        </w:rPr>
      </w:pPr>
      <w:r w:rsidRPr="003D6406">
        <w:rPr>
          <w:rStyle w:val="Strong"/>
        </w:rPr>
        <w:t xml:space="preserve">RNA Purification Step: </w:t>
      </w:r>
    </w:p>
    <w:p w:rsidR="00B921B5" w:rsidRPr="003D6406" w:rsidRDefault="00B921B5" w:rsidP="003D6406">
      <w:pPr>
        <w:pStyle w:val="ListParagraph"/>
        <w:numPr>
          <w:ilvl w:val="0"/>
          <w:numId w:val="12"/>
        </w:numPr>
        <w:spacing w:after="0" w:line="360" w:lineRule="auto"/>
        <w:jc w:val="both"/>
        <w:rPr>
          <w:rStyle w:val="Strong"/>
          <w:b w:val="0"/>
          <w:bCs w:val="0"/>
        </w:rPr>
      </w:pPr>
      <w:r w:rsidRPr="003D6406">
        <w:rPr>
          <w:rStyle w:val="Strong"/>
          <w:b w:val="0"/>
        </w:rPr>
        <w:t>A</w:t>
      </w:r>
      <w:r w:rsidRPr="003D6406">
        <w:rPr>
          <w:rStyle w:val="Strong"/>
          <w:b w:val="0"/>
          <w:bCs w:val="0"/>
        </w:rPr>
        <w:t>dd 20 µL Pro-Mag</w:t>
      </w:r>
      <w:r w:rsidR="004F68F9">
        <w:rPr>
          <w:rStyle w:val="Strong"/>
          <w:b w:val="0"/>
          <w:bCs w:val="0"/>
          <w:vertAlign w:val="superscript"/>
        </w:rPr>
        <w:t>TM</w:t>
      </w:r>
      <w:r w:rsidRPr="003D6406">
        <w:rPr>
          <w:rStyle w:val="Strong"/>
          <w:b w:val="0"/>
          <w:bCs w:val="0"/>
        </w:rPr>
        <w:t xml:space="preserve"> binding beads to supernatant and invert several times to mix well. Incubate at 37°C for 5 min. </w:t>
      </w:r>
    </w:p>
    <w:p w:rsidR="00B921B5" w:rsidRPr="003D6406" w:rsidRDefault="00B921B5" w:rsidP="003D6406">
      <w:pPr>
        <w:pStyle w:val="ListParagraph"/>
        <w:numPr>
          <w:ilvl w:val="0"/>
          <w:numId w:val="12"/>
        </w:numPr>
        <w:spacing w:after="0" w:line="360" w:lineRule="auto"/>
        <w:jc w:val="both"/>
        <w:rPr>
          <w:rStyle w:val="Strong"/>
          <w:b w:val="0"/>
          <w:bCs w:val="0"/>
        </w:rPr>
      </w:pPr>
      <w:r w:rsidRPr="003D6406">
        <w:rPr>
          <w:rStyle w:val="Strong"/>
          <w:b w:val="0"/>
          <w:bCs w:val="0"/>
        </w:rPr>
        <w:t>Recover beads with magnet and discard supernatant</w:t>
      </w:r>
    </w:p>
    <w:p w:rsidR="00B921B5" w:rsidRPr="003D6406" w:rsidRDefault="00B921B5" w:rsidP="003D6406">
      <w:pPr>
        <w:pStyle w:val="ListParagraph"/>
        <w:numPr>
          <w:ilvl w:val="0"/>
          <w:numId w:val="12"/>
        </w:numPr>
        <w:spacing w:after="0" w:line="360" w:lineRule="auto"/>
        <w:jc w:val="both"/>
        <w:rPr>
          <w:rStyle w:val="Strong"/>
          <w:b w:val="0"/>
          <w:bCs w:val="0"/>
        </w:rPr>
      </w:pPr>
      <w:r w:rsidRPr="003D6406">
        <w:rPr>
          <w:rStyle w:val="Strong"/>
          <w:b w:val="0"/>
          <w:bCs w:val="0"/>
        </w:rPr>
        <w:t>Remove tube from magnet, add 750 µL cold Wash Buffer, and invert several times to mix well</w:t>
      </w:r>
    </w:p>
    <w:p w:rsidR="00B921B5" w:rsidRPr="003D6406" w:rsidRDefault="00B921B5" w:rsidP="003D6406">
      <w:pPr>
        <w:pStyle w:val="ListParagraph"/>
        <w:numPr>
          <w:ilvl w:val="0"/>
          <w:numId w:val="12"/>
        </w:numPr>
        <w:spacing w:after="0" w:line="360" w:lineRule="auto"/>
        <w:jc w:val="both"/>
        <w:rPr>
          <w:rStyle w:val="Strong"/>
          <w:b w:val="0"/>
          <w:bCs w:val="0"/>
        </w:rPr>
      </w:pPr>
      <w:r w:rsidRPr="003D6406">
        <w:rPr>
          <w:rStyle w:val="Strong"/>
          <w:b w:val="0"/>
          <w:bCs w:val="0"/>
        </w:rPr>
        <w:t>Recover beads with magnet and discard supernatant</w:t>
      </w:r>
    </w:p>
    <w:p w:rsidR="00B921B5" w:rsidRPr="003D6406" w:rsidRDefault="00B921B5" w:rsidP="003D6406">
      <w:pPr>
        <w:pStyle w:val="ListParagraph"/>
        <w:numPr>
          <w:ilvl w:val="0"/>
          <w:numId w:val="12"/>
        </w:numPr>
        <w:spacing w:after="0" w:line="360" w:lineRule="auto"/>
        <w:jc w:val="both"/>
        <w:rPr>
          <w:rStyle w:val="Strong"/>
          <w:b w:val="0"/>
          <w:bCs w:val="0"/>
        </w:rPr>
      </w:pPr>
      <w:r w:rsidRPr="003D6406">
        <w:rPr>
          <w:rStyle w:val="Strong"/>
          <w:b w:val="0"/>
          <w:bCs w:val="0"/>
        </w:rPr>
        <w:t xml:space="preserve">Repeat steps </w:t>
      </w:r>
      <w:r w:rsidR="003D6406">
        <w:rPr>
          <w:rStyle w:val="Strong"/>
          <w:b w:val="0"/>
          <w:bCs w:val="0"/>
        </w:rPr>
        <w:t>3</w:t>
      </w:r>
      <w:r w:rsidRPr="003D6406">
        <w:rPr>
          <w:rStyle w:val="Strong"/>
          <w:b w:val="0"/>
          <w:bCs w:val="0"/>
        </w:rPr>
        <w:t>-</w:t>
      </w:r>
      <w:r w:rsidR="003D6406">
        <w:rPr>
          <w:rStyle w:val="Strong"/>
          <w:b w:val="0"/>
          <w:bCs w:val="0"/>
        </w:rPr>
        <w:t>4</w:t>
      </w:r>
    </w:p>
    <w:p w:rsidR="00B921B5" w:rsidRPr="003D6406" w:rsidRDefault="00B921B5" w:rsidP="003D6406">
      <w:pPr>
        <w:pStyle w:val="ListParagraph"/>
        <w:numPr>
          <w:ilvl w:val="0"/>
          <w:numId w:val="12"/>
        </w:numPr>
        <w:spacing w:after="0" w:line="360" w:lineRule="auto"/>
        <w:jc w:val="both"/>
        <w:rPr>
          <w:rStyle w:val="Strong"/>
          <w:b w:val="0"/>
          <w:bCs w:val="0"/>
        </w:rPr>
      </w:pPr>
      <w:r w:rsidRPr="003D6406">
        <w:rPr>
          <w:rStyle w:val="Strong"/>
          <w:b w:val="0"/>
          <w:bCs w:val="0"/>
        </w:rPr>
        <w:t>Remove tube from magnet, add 40</w:t>
      </w:r>
      <w:r w:rsidR="008F1BEA">
        <w:rPr>
          <w:rStyle w:val="Strong"/>
          <w:b w:val="0"/>
          <w:bCs w:val="0"/>
        </w:rPr>
        <w:t>-</w:t>
      </w:r>
      <w:r w:rsidR="00C90781">
        <w:rPr>
          <w:rStyle w:val="Strong"/>
          <w:b w:val="0"/>
          <w:bCs w:val="0"/>
        </w:rPr>
        <w:t>6</w:t>
      </w:r>
      <w:r w:rsidR="008F1BEA">
        <w:rPr>
          <w:rStyle w:val="Strong"/>
          <w:b w:val="0"/>
          <w:bCs w:val="0"/>
        </w:rPr>
        <w:t>0*</w:t>
      </w:r>
      <w:r w:rsidRPr="003D6406">
        <w:rPr>
          <w:rStyle w:val="Strong"/>
          <w:b w:val="0"/>
          <w:bCs w:val="0"/>
        </w:rPr>
        <w:t xml:space="preserve"> µL Elution Buffer, and mix 10 X with pipette. Incubate at 65°C for 1 min. </w:t>
      </w:r>
    </w:p>
    <w:p w:rsidR="00B921B5" w:rsidRDefault="00B921B5" w:rsidP="003D6406">
      <w:pPr>
        <w:pStyle w:val="ListParagraph"/>
        <w:numPr>
          <w:ilvl w:val="0"/>
          <w:numId w:val="12"/>
        </w:numPr>
        <w:spacing w:after="0" w:line="360" w:lineRule="auto"/>
        <w:jc w:val="both"/>
        <w:rPr>
          <w:rStyle w:val="Strong"/>
          <w:b w:val="0"/>
          <w:bCs w:val="0"/>
        </w:rPr>
      </w:pPr>
      <w:r w:rsidRPr="003D6406">
        <w:rPr>
          <w:rStyle w:val="Strong"/>
          <w:b w:val="0"/>
          <w:bCs w:val="0"/>
        </w:rPr>
        <w:t xml:space="preserve">Recover beads with magnet and transfer RNA-eluent to a new 1.5 mL </w:t>
      </w:r>
      <w:r w:rsidR="00E90AAE">
        <w:rPr>
          <w:rStyle w:val="Strong"/>
          <w:b w:val="0"/>
          <w:bCs w:val="0"/>
        </w:rPr>
        <w:t>DNase</w:t>
      </w:r>
      <w:r w:rsidR="003D6406">
        <w:rPr>
          <w:rStyle w:val="Strong"/>
          <w:b w:val="0"/>
          <w:bCs w:val="0"/>
        </w:rPr>
        <w:t>/</w:t>
      </w:r>
      <w:r w:rsidR="00E90AAE">
        <w:rPr>
          <w:rStyle w:val="Strong"/>
          <w:b w:val="0"/>
          <w:bCs w:val="0"/>
        </w:rPr>
        <w:t>RNase</w:t>
      </w:r>
      <w:r w:rsidR="003D6406">
        <w:rPr>
          <w:rStyle w:val="Strong"/>
          <w:b w:val="0"/>
          <w:bCs w:val="0"/>
        </w:rPr>
        <w:t xml:space="preserve">-free </w:t>
      </w:r>
      <w:r w:rsidRPr="003D6406">
        <w:rPr>
          <w:rStyle w:val="Strong"/>
          <w:b w:val="0"/>
          <w:bCs w:val="0"/>
        </w:rPr>
        <w:t>tube</w:t>
      </w:r>
    </w:p>
    <w:p w:rsidR="008F1BEA" w:rsidRDefault="008F1BEA" w:rsidP="003D6406">
      <w:pPr>
        <w:pStyle w:val="ListParagraph"/>
        <w:numPr>
          <w:ilvl w:val="0"/>
          <w:numId w:val="12"/>
        </w:numPr>
        <w:spacing w:after="0" w:line="360" w:lineRule="auto"/>
        <w:jc w:val="both"/>
        <w:rPr>
          <w:rStyle w:val="Strong"/>
          <w:b w:val="0"/>
          <w:bCs w:val="0"/>
        </w:rPr>
      </w:pPr>
      <w:r>
        <w:rPr>
          <w:rStyle w:val="Strong"/>
          <w:b w:val="0"/>
          <w:bCs w:val="0"/>
        </w:rPr>
        <w:t xml:space="preserve">Eluted RNA can be used immediately for isothermal amplification, </w:t>
      </w:r>
      <w:r w:rsidR="00603FD1">
        <w:rPr>
          <w:rStyle w:val="Strong"/>
          <w:b w:val="0"/>
          <w:bCs w:val="0"/>
        </w:rPr>
        <w:t xml:space="preserve">real-time </w:t>
      </w:r>
      <w:r>
        <w:rPr>
          <w:rStyle w:val="Strong"/>
          <w:b w:val="0"/>
          <w:bCs w:val="0"/>
        </w:rPr>
        <w:t xml:space="preserve">PCR, or reverse transcriptase- PCR. </w:t>
      </w:r>
    </w:p>
    <w:p w:rsidR="007C6866" w:rsidRPr="003D6406" w:rsidRDefault="007C6866" w:rsidP="003D6406">
      <w:pPr>
        <w:pStyle w:val="ListParagraph"/>
        <w:numPr>
          <w:ilvl w:val="0"/>
          <w:numId w:val="12"/>
        </w:numPr>
        <w:spacing w:after="0" w:line="360" w:lineRule="auto"/>
        <w:jc w:val="both"/>
        <w:rPr>
          <w:rStyle w:val="Strong"/>
          <w:b w:val="0"/>
          <w:bCs w:val="0"/>
        </w:rPr>
      </w:pPr>
      <w:r>
        <w:rPr>
          <w:rStyle w:val="Strong"/>
          <w:b w:val="0"/>
          <w:bCs w:val="0"/>
        </w:rPr>
        <w:t>Store RNA at -20◦C for short-term and -80◦C for long-term.</w:t>
      </w:r>
    </w:p>
    <w:p w:rsidR="0034026C" w:rsidRDefault="0034026C" w:rsidP="007C1DD9"/>
    <w:p w:rsidR="008F1BEA" w:rsidRDefault="008F1BEA" w:rsidP="007C1DD9">
      <w:r>
        <w:t>*Pipet 40 µL Elution Buffer when working with smal</w:t>
      </w:r>
      <w:r w:rsidR="007C6866">
        <w:t xml:space="preserve">l amounts of starting material </w:t>
      </w:r>
    </w:p>
    <w:p w:rsidR="007C1DD9" w:rsidRPr="007C1DD9" w:rsidRDefault="007C1DD9" w:rsidP="007C1DD9"/>
    <w:p w:rsidR="0022628E" w:rsidRDefault="0022628E" w:rsidP="0022628E">
      <w:pPr>
        <w:pStyle w:val="Heading1"/>
        <w:rPr>
          <w:b/>
        </w:rPr>
      </w:pPr>
      <w:bookmarkStart w:id="7" w:name="_Toc479532449"/>
      <w:r w:rsidRPr="0015076A">
        <w:rPr>
          <w:b/>
        </w:rPr>
        <w:t>Troubleshooting</w:t>
      </w:r>
      <w:r>
        <w:t xml:space="preserve"> </w:t>
      </w:r>
      <w:r w:rsidRPr="0015076A">
        <w:rPr>
          <w:b/>
        </w:rPr>
        <w:t>Guide</w:t>
      </w:r>
      <w:bookmarkEnd w:id="7"/>
    </w:p>
    <w:p w:rsidR="0081374A" w:rsidRDefault="0081374A" w:rsidP="0081374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56C4D" w:rsidTr="00AA7A60">
        <w:tc>
          <w:tcPr>
            <w:tcW w:w="3116" w:type="dxa"/>
            <w:tcBorders>
              <w:bottom w:val="single" w:sz="4" w:space="0" w:color="auto"/>
            </w:tcBorders>
          </w:tcPr>
          <w:p w:rsidR="00856C4D" w:rsidRPr="001F6BEE" w:rsidRDefault="001F6BEE" w:rsidP="001F6BEE">
            <w:pPr>
              <w:spacing w:line="360" w:lineRule="auto"/>
              <w:rPr>
                <w:b/>
              </w:rPr>
            </w:pPr>
            <w:r w:rsidRPr="001F6BEE">
              <w:rPr>
                <w:b/>
              </w:rPr>
              <w:t>Issue</w:t>
            </w:r>
          </w:p>
        </w:tc>
        <w:tc>
          <w:tcPr>
            <w:tcW w:w="3117" w:type="dxa"/>
            <w:tcBorders>
              <w:bottom w:val="single" w:sz="4" w:space="0" w:color="auto"/>
            </w:tcBorders>
          </w:tcPr>
          <w:p w:rsidR="00856C4D" w:rsidRPr="001F6BEE" w:rsidRDefault="001F6BEE" w:rsidP="001F6BEE">
            <w:pPr>
              <w:spacing w:line="360" w:lineRule="auto"/>
              <w:rPr>
                <w:b/>
              </w:rPr>
            </w:pPr>
            <w:r w:rsidRPr="001F6BEE">
              <w:rPr>
                <w:b/>
              </w:rPr>
              <w:t>Possible Cause</w:t>
            </w:r>
          </w:p>
        </w:tc>
        <w:tc>
          <w:tcPr>
            <w:tcW w:w="3117" w:type="dxa"/>
            <w:tcBorders>
              <w:bottom w:val="single" w:sz="4" w:space="0" w:color="auto"/>
            </w:tcBorders>
          </w:tcPr>
          <w:p w:rsidR="00856C4D" w:rsidRPr="001F6BEE" w:rsidRDefault="001F6BEE" w:rsidP="001F6BEE">
            <w:pPr>
              <w:spacing w:line="360" w:lineRule="auto"/>
              <w:rPr>
                <w:b/>
              </w:rPr>
            </w:pPr>
            <w:r w:rsidRPr="001F6BEE">
              <w:rPr>
                <w:b/>
              </w:rPr>
              <w:t>Recommendation</w:t>
            </w:r>
          </w:p>
        </w:tc>
      </w:tr>
      <w:tr w:rsidR="00856C4D" w:rsidTr="00AA7A60">
        <w:tc>
          <w:tcPr>
            <w:tcW w:w="3116" w:type="dxa"/>
            <w:tcBorders>
              <w:top w:val="single" w:sz="4" w:space="0" w:color="auto"/>
            </w:tcBorders>
          </w:tcPr>
          <w:p w:rsidR="00856C4D" w:rsidRPr="00AA7A60" w:rsidRDefault="001F6BEE" w:rsidP="001F6BEE">
            <w:pPr>
              <w:spacing w:line="360" w:lineRule="auto"/>
              <w:rPr>
                <w:b/>
              </w:rPr>
            </w:pPr>
            <w:r w:rsidRPr="00AA7A60">
              <w:rPr>
                <w:b/>
              </w:rPr>
              <w:t>Genomic DNA contamination</w:t>
            </w:r>
          </w:p>
        </w:tc>
        <w:tc>
          <w:tcPr>
            <w:tcW w:w="3117" w:type="dxa"/>
            <w:tcBorders>
              <w:top w:val="single" w:sz="4" w:space="0" w:color="auto"/>
            </w:tcBorders>
          </w:tcPr>
          <w:p w:rsidR="001F6BEE" w:rsidRDefault="001F6BEE" w:rsidP="001F6BEE">
            <w:pPr>
              <w:spacing w:line="360" w:lineRule="auto"/>
            </w:pPr>
            <w:r>
              <w:t>Excessive amount of starting material</w:t>
            </w:r>
          </w:p>
          <w:p w:rsidR="0015102E" w:rsidRDefault="0015102E" w:rsidP="001F6BEE">
            <w:pPr>
              <w:spacing w:line="360" w:lineRule="auto"/>
            </w:pPr>
          </w:p>
          <w:p w:rsidR="00856C4D" w:rsidRDefault="001F6BEE" w:rsidP="001F6BEE">
            <w:pPr>
              <w:spacing w:line="360" w:lineRule="auto"/>
            </w:pPr>
            <w:r>
              <w:t xml:space="preserve"> </w:t>
            </w:r>
            <w:r w:rsidR="0015102E">
              <w:t>DNases not denatured</w:t>
            </w:r>
          </w:p>
        </w:tc>
        <w:tc>
          <w:tcPr>
            <w:tcW w:w="3117" w:type="dxa"/>
            <w:tcBorders>
              <w:top w:val="single" w:sz="4" w:space="0" w:color="auto"/>
            </w:tcBorders>
          </w:tcPr>
          <w:p w:rsidR="00856C4D" w:rsidRDefault="001F6BEE" w:rsidP="001F6BEE">
            <w:pPr>
              <w:spacing w:line="360" w:lineRule="auto"/>
            </w:pPr>
            <w:r>
              <w:t xml:space="preserve">Reduce amount of starting material </w:t>
            </w:r>
          </w:p>
          <w:p w:rsidR="0015102E" w:rsidRDefault="0015102E" w:rsidP="001F6BEE">
            <w:pPr>
              <w:spacing w:line="360" w:lineRule="auto"/>
            </w:pPr>
          </w:p>
          <w:p w:rsidR="001F6BEE" w:rsidRDefault="001F6BEE" w:rsidP="001F6BEE">
            <w:pPr>
              <w:spacing w:line="360" w:lineRule="auto"/>
            </w:pPr>
            <w:r>
              <w:t>Add a DNase I digestion step</w:t>
            </w:r>
          </w:p>
        </w:tc>
      </w:tr>
      <w:tr w:rsidR="00856C4D" w:rsidTr="0033347B">
        <w:tc>
          <w:tcPr>
            <w:tcW w:w="3116" w:type="dxa"/>
          </w:tcPr>
          <w:p w:rsidR="00856C4D" w:rsidRPr="00AA7A60" w:rsidRDefault="001F6BEE" w:rsidP="001F6BEE">
            <w:pPr>
              <w:spacing w:line="360" w:lineRule="auto"/>
              <w:rPr>
                <w:b/>
              </w:rPr>
            </w:pPr>
            <w:r w:rsidRPr="00AA7A60">
              <w:rPr>
                <w:b/>
              </w:rPr>
              <w:t>RNA degradation</w:t>
            </w:r>
          </w:p>
        </w:tc>
        <w:tc>
          <w:tcPr>
            <w:tcW w:w="3117" w:type="dxa"/>
          </w:tcPr>
          <w:p w:rsidR="00856C4D" w:rsidRDefault="0015102E" w:rsidP="001F6BEE">
            <w:pPr>
              <w:spacing w:line="360" w:lineRule="auto"/>
            </w:pPr>
            <w:r>
              <w:t xml:space="preserve">Endogenous RNases </w:t>
            </w:r>
          </w:p>
          <w:p w:rsidR="0015102E" w:rsidRDefault="0015102E" w:rsidP="001F6BEE">
            <w:pPr>
              <w:spacing w:line="360" w:lineRule="auto"/>
            </w:pPr>
          </w:p>
          <w:p w:rsidR="0015102E" w:rsidRDefault="0015102E" w:rsidP="001F6BEE">
            <w:pPr>
              <w:spacing w:line="360" w:lineRule="auto"/>
            </w:pPr>
          </w:p>
          <w:p w:rsidR="008204A8" w:rsidRDefault="008204A8" w:rsidP="001F6BEE">
            <w:pPr>
              <w:spacing w:line="360" w:lineRule="auto"/>
            </w:pPr>
          </w:p>
          <w:p w:rsidR="0015102E" w:rsidRDefault="0015102E" w:rsidP="001F6BEE">
            <w:pPr>
              <w:spacing w:line="360" w:lineRule="auto"/>
            </w:pPr>
            <w:r>
              <w:t>RNase contamination of buffers and/or microcentrifuge tubes</w:t>
            </w:r>
          </w:p>
        </w:tc>
        <w:tc>
          <w:tcPr>
            <w:tcW w:w="3117" w:type="dxa"/>
          </w:tcPr>
          <w:p w:rsidR="0015102E" w:rsidRDefault="0015102E" w:rsidP="001F6BEE">
            <w:pPr>
              <w:spacing w:line="360" w:lineRule="auto"/>
            </w:pPr>
            <w:r>
              <w:t>Work quickly and keep extracted RNA on ice</w:t>
            </w:r>
          </w:p>
          <w:p w:rsidR="0015102E" w:rsidRDefault="0015102E" w:rsidP="001F6BEE">
            <w:pPr>
              <w:spacing w:line="360" w:lineRule="auto"/>
            </w:pPr>
          </w:p>
          <w:p w:rsidR="0015102E" w:rsidRDefault="0015102E" w:rsidP="001F6BEE">
            <w:pPr>
              <w:spacing w:line="360" w:lineRule="auto"/>
            </w:pPr>
          </w:p>
          <w:p w:rsidR="0015102E" w:rsidRDefault="00273635" w:rsidP="001F6BEE">
            <w:pPr>
              <w:spacing w:line="360" w:lineRule="auto"/>
            </w:pPr>
            <w:r>
              <w:t>Decontaminate work area and gloves. Be sure to change pipet tips when entering</w:t>
            </w:r>
            <w:r w:rsidR="00AA7A60">
              <w:t xml:space="preserve"> buffers to avoid contamination</w:t>
            </w:r>
          </w:p>
        </w:tc>
      </w:tr>
      <w:tr w:rsidR="00856C4D" w:rsidTr="0033347B">
        <w:tc>
          <w:tcPr>
            <w:tcW w:w="3116" w:type="dxa"/>
          </w:tcPr>
          <w:p w:rsidR="00856C4D" w:rsidRPr="00AA7A60" w:rsidRDefault="001F6BEE" w:rsidP="001F6BEE">
            <w:pPr>
              <w:spacing w:line="360" w:lineRule="auto"/>
              <w:rPr>
                <w:b/>
              </w:rPr>
            </w:pPr>
            <w:r w:rsidRPr="00AA7A60">
              <w:rPr>
                <w:b/>
              </w:rPr>
              <w:t>Low RNA yield</w:t>
            </w:r>
          </w:p>
        </w:tc>
        <w:tc>
          <w:tcPr>
            <w:tcW w:w="3117" w:type="dxa"/>
          </w:tcPr>
          <w:p w:rsidR="00856C4D" w:rsidRDefault="00CD4B8F" w:rsidP="001F6BEE">
            <w:pPr>
              <w:spacing w:line="360" w:lineRule="auto"/>
            </w:pPr>
            <w:r>
              <w:t>Low amount or excessive amount of starting material</w:t>
            </w:r>
          </w:p>
          <w:p w:rsidR="00CD4B8F" w:rsidRDefault="00CD4B8F" w:rsidP="001F6BEE">
            <w:pPr>
              <w:spacing w:line="360" w:lineRule="auto"/>
            </w:pPr>
          </w:p>
          <w:p w:rsidR="00CD4B8F" w:rsidRDefault="00CD4B8F" w:rsidP="001F6BEE">
            <w:pPr>
              <w:spacing w:line="360" w:lineRule="auto"/>
            </w:pPr>
            <w:r>
              <w:t>Incomplete sample homogenization</w:t>
            </w:r>
          </w:p>
          <w:p w:rsidR="00CD4B8F" w:rsidRDefault="00CD4B8F" w:rsidP="001F6BEE">
            <w:pPr>
              <w:spacing w:line="360" w:lineRule="auto"/>
            </w:pPr>
          </w:p>
          <w:p w:rsidR="00CD4B8F" w:rsidRDefault="00CD4B8F" w:rsidP="001F6BEE">
            <w:pPr>
              <w:spacing w:line="360" w:lineRule="auto"/>
            </w:pPr>
            <w:r>
              <w:t>Insufficient elution</w:t>
            </w:r>
          </w:p>
        </w:tc>
        <w:tc>
          <w:tcPr>
            <w:tcW w:w="3117" w:type="dxa"/>
          </w:tcPr>
          <w:p w:rsidR="00856C4D" w:rsidRDefault="004860BE" w:rsidP="001F6BEE">
            <w:pPr>
              <w:spacing w:line="360" w:lineRule="auto"/>
            </w:pPr>
            <w:r>
              <w:t>Increase or reduce the starting sample</w:t>
            </w:r>
          </w:p>
          <w:p w:rsidR="004860BE" w:rsidRDefault="004860BE" w:rsidP="001F6BEE">
            <w:pPr>
              <w:spacing w:line="360" w:lineRule="auto"/>
            </w:pPr>
          </w:p>
          <w:p w:rsidR="004860BE" w:rsidRDefault="004860BE" w:rsidP="001F6BEE">
            <w:pPr>
              <w:spacing w:line="360" w:lineRule="auto"/>
            </w:pPr>
            <w:r>
              <w:t>Extend homogenization time or use Bead mixer device</w:t>
            </w:r>
          </w:p>
          <w:p w:rsidR="004860BE" w:rsidRDefault="004860BE" w:rsidP="001F6BEE">
            <w:pPr>
              <w:spacing w:line="360" w:lineRule="auto"/>
            </w:pPr>
          </w:p>
          <w:p w:rsidR="004860BE" w:rsidRDefault="004860BE" w:rsidP="001F6BEE">
            <w:pPr>
              <w:spacing w:line="360" w:lineRule="auto"/>
            </w:pPr>
            <w:r>
              <w:t>Make sure water bath is set to 65</w:t>
            </w:r>
            <w:r w:rsidRPr="004860BE">
              <w:t>◦</w:t>
            </w:r>
            <w:r>
              <w:t>C prior to adding samples</w:t>
            </w:r>
          </w:p>
        </w:tc>
      </w:tr>
      <w:tr w:rsidR="00856C4D" w:rsidTr="0033347B">
        <w:tc>
          <w:tcPr>
            <w:tcW w:w="3116" w:type="dxa"/>
          </w:tcPr>
          <w:p w:rsidR="00856C4D" w:rsidRPr="00AA7A60" w:rsidRDefault="001F6BEE" w:rsidP="001F6BEE">
            <w:pPr>
              <w:spacing w:line="360" w:lineRule="auto"/>
              <w:rPr>
                <w:b/>
              </w:rPr>
            </w:pPr>
            <w:r w:rsidRPr="00AA7A60">
              <w:rPr>
                <w:b/>
              </w:rPr>
              <w:t>RNA performs inadequately in downstream applications</w:t>
            </w:r>
          </w:p>
        </w:tc>
        <w:tc>
          <w:tcPr>
            <w:tcW w:w="3117" w:type="dxa"/>
          </w:tcPr>
          <w:p w:rsidR="00CD4B8F" w:rsidRDefault="00CD4B8F" w:rsidP="001F6BEE">
            <w:pPr>
              <w:spacing w:line="360" w:lineRule="auto"/>
            </w:pPr>
            <w:r>
              <w:t>Wash step incomplete</w:t>
            </w:r>
          </w:p>
          <w:p w:rsidR="00CD4B8F" w:rsidRDefault="00CD4B8F" w:rsidP="001F6BEE">
            <w:pPr>
              <w:spacing w:line="360" w:lineRule="auto"/>
            </w:pPr>
          </w:p>
          <w:p w:rsidR="004860BE" w:rsidRDefault="004860BE" w:rsidP="001F6BEE">
            <w:pPr>
              <w:spacing w:line="360" w:lineRule="auto"/>
            </w:pPr>
          </w:p>
          <w:p w:rsidR="004860BE" w:rsidRDefault="004860BE" w:rsidP="001F6BEE">
            <w:pPr>
              <w:spacing w:line="360" w:lineRule="auto"/>
            </w:pPr>
          </w:p>
          <w:p w:rsidR="00CD4B8F" w:rsidRDefault="00CD4B8F" w:rsidP="001F6BEE">
            <w:pPr>
              <w:spacing w:line="360" w:lineRule="auto"/>
            </w:pPr>
            <w:r>
              <w:t>RNA is degraded</w:t>
            </w:r>
          </w:p>
        </w:tc>
        <w:tc>
          <w:tcPr>
            <w:tcW w:w="3117" w:type="dxa"/>
          </w:tcPr>
          <w:p w:rsidR="00856C4D" w:rsidRDefault="004860BE" w:rsidP="001F6BEE">
            <w:pPr>
              <w:spacing w:line="360" w:lineRule="auto"/>
            </w:pPr>
            <w:r>
              <w:t>Make sure Lysis buffer is completely removed before adding wash buffer</w:t>
            </w:r>
          </w:p>
          <w:p w:rsidR="004860BE" w:rsidRDefault="004860BE" w:rsidP="001F6BEE">
            <w:pPr>
              <w:spacing w:line="360" w:lineRule="auto"/>
            </w:pPr>
          </w:p>
          <w:p w:rsidR="004860BE" w:rsidRDefault="004860BE" w:rsidP="001F6BEE">
            <w:pPr>
              <w:spacing w:line="360" w:lineRule="auto"/>
            </w:pPr>
            <w:r>
              <w:t>See Issue “RNA degradation”</w:t>
            </w:r>
          </w:p>
        </w:tc>
      </w:tr>
    </w:tbl>
    <w:p w:rsidR="0081374A" w:rsidRDefault="0081374A" w:rsidP="0081374A"/>
    <w:p w:rsidR="00152062" w:rsidRPr="0081374A" w:rsidRDefault="00152062" w:rsidP="0081374A"/>
    <w:p w:rsidR="000A78AF" w:rsidRDefault="000A78AF" w:rsidP="000A78AF">
      <w:pPr>
        <w:pStyle w:val="Heading1"/>
        <w:rPr>
          <w:b/>
        </w:rPr>
      </w:pPr>
      <w:bookmarkStart w:id="8" w:name="_Toc479532450"/>
      <w:r w:rsidRPr="0015076A">
        <w:rPr>
          <w:b/>
        </w:rPr>
        <w:t>Ordering</w:t>
      </w:r>
      <w:r>
        <w:t xml:space="preserve"> </w:t>
      </w:r>
      <w:r w:rsidRPr="0015076A">
        <w:rPr>
          <w:b/>
        </w:rPr>
        <w:t>Information</w:t>
      </w:r>
      <w:bookmarkEnd w:id="8"/>
    </w:p>
    <w:p w:rsidR="0081374A" w:rsidRDefault="0081374A" w:rsidP="0081374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1374A" w:rsidTr="0081374A">
        <w:tc>
          <w:tcPr>
            <w:tcW w:w="4675" w:type="dxa"/>
            <w:tcBorders>
              <w:bottom w:val="single" w:sz="4" w:space="0" w:color="auto"/>
            </w:tcBorders>
          </w:tcPr>
          <w:p w:rsidR="0081374A" w:rsidRPr="0081374A" w:rsidRDefault="0081374A" w:rsidP="0081374A">
            <w:pPr>
              <w:spacing w:line="360" w:lineRule="auto"/>
              <w:rPr>
                <w:b/>
              </w:rPr>
            </w:pPr>
            <w:r w:rsidRPr="0081374A">
              <w:rPr>
                <w:b/>
              </w:rPr>
              <w:t>Catalog #</w:t>
            </w:r>
          </w:p>
        </w:tc>
        <w:tc>
          <w:tcPr>
            <w:tcW w:w="4675" w:type="dxa"/>
            <w:tcBorders>
              <w:bottom w:val="single" w:sz="4" w:space="0" w:color="auto"/>
            </w:tcBorders>
          </w:tcPr>
          <w:p w:rsidR="0081374A" w:rsidRPr="0081374A" w:rsidRDefault="0081374A" w:rsidP="0081374A">
            <w:pPr>
              <w:spacing w:line="360" w:lineRule="auto"/>
              <w:rPr>
                <w:b/>
              </w:rPr>
            </w:pPr>
            <w:r w:rsidRPr="0081374A">
              <w:rPr>
                <w:b/>
              </w:rPr>
              <w:t>Description</w:t>
            </w:r>
          </w:p>
        </w:tc>
      </w:tr>
      <w:tr w:rsidR="0081374A" w:rsidTr="008204A8">
        <w:tc>
          <w:tcPr>
            <w:tcW w:w="4675" w:type="dxa"/>
            <w:tcBorders>
              <w:top w:val="single" w:sz="4" w:space="0" w:color="auto"/>
            </w:tcBorders>
          </w:tcPr>
          <w:p w:rsidR="0081374A" w:rsidRDefault="0081374A" w:rsidP="0081374A">
            <w:pPr>
              <w:spacing w:line="360" w:lineRule="auto"/>
            </w:pPr>
            <w:r>
              <w:t>PLM-2000</w:t>
            </w:r>
          </w:p>
        </w:tc>
        <w:tc>
          <w:tcPr>
            <w:tcW w:w="4675" w:type="dxa"/>
            <w:tcBorders>
              <w:top w:val="single" w:sz="4" w:space="0" w:color="auto"/>
            </w:tcBorders>
          </w:tcPr>
          <w:p w:rsidR="0081374A" w:rsidRDefault="0081374A" w:rsidP="0081374A">
            <w:pPr>
              <w:spacing w:line="360" w:lineRule="auto"/>
            </w:pPr>
            <w:r>
              <w:t>Pro-Mag</w:t>
            </w:r>
            <w:r w:rsidR="004F68F9">
              <w:rPr>
                <w:vertAlign w:val="superscript"/>
              </w:rPr>
              <w:t>TM</w:t>
            </w:r>
            <w:r>
              <w:t xml:space="preserve"> RNA Extraction Kit</w:t>
            </w:r>
          </w:p>
        </w:tc>
      </w:tr>
      <w:tr w:rsidR="008204A8" w:rsidTr="008204A8">
        <w:tc>
          <w:tcPr>
            <w:tcW w:w="4675" w:type="dxa"/>
          </w:tcPr>
          <w:p w:rsidR="008204A8" w:rsidRDefault="008204A8" w:rsidP="008204A8">
            <w:pPr>
              <w:spacing w:line="360" w:lineRule="auto"/>
            </w:pPr>
            <w:r>
              <w:t>PLM-2001</w:t>
            </w:r>
          </w:p>
        </w:tc>
        <w:tc>
          <w:tcPr>
            <w:tcW w:w="4675" w:type="dxa"/>
          </w:tcPr>
          <w:p w:rsidR="008204A8" w:rsidRPr="008204A8" w:rsidRDefault="008204A8" w:rsidP="008204A8">
            <w:pPr>
              <w:spacing w:line="360" w:lineRule="auto"/>
            </w:pPr>
            <w:r>
              <w:t>Pro-Mag</w:t>
            </w:r>
            <w:r>
              <w:rPr>
                <w:vertAlign w:val="superscript"/>
              </w:rPr>
              <w:t>TM</w:t>
            </w:r>
            <w:r>
              <w:t xml:space="preserve"> </w:t>
            </w:r>
            <w:r w:rsidRPr="008204A8">
              <w:t>2- Tube Magnetic Rack</w:t>
            </w:r>
          </w:p>
        </w:tc>
      </w:tr>
      <w:tr w:rsidR="008204A8" w:rsidTr="008204A8">
        <w:tc>
          <w:tcPr>
            <w:tcW w:w="4675" w:type="dxa"/>
          </w:tcPr>
          <w:p w:rsidR="008204A8" w:rsidRDefault="008204A8" w:rsidP="008204A8">
            <w:pPr>
              <w:spacing w:line="360" w:lineRule="auto"/>
            </w:pPr>
            <w:r>
              <w:t>PLM-2002</w:t>
            </w:r>
          </w:p>
        </w:tc>
        <w:tc>
          <w:tcPr>
            <w:tcW w:w="4675" w:type="dxa"/>
          </w:tcPr>
          <w:p w:rsidR="008204A8" w:rsidRPr="008204A8" w:rsidRDefault="008204A8" w:rsidP="008204A8">
            <w:pPr>
              <w:spacing w:line="360" w:lineRule="auto"/>
            </w:pPr>
            <w:r>
              <w:t>Pro-Mag</w:t>
            </w:r>
            <w:r>
              <w:rPr>
                <w:vertAlign w:val="superscript"/>
              </w:rPr>
              <w:t>TM</w:t>
            </w:r>
            <w:r w:rsidRPr="008204A8">
              <w:t xml:space="preserve"> 12- Tube Magnetic Rack</w:t>
            </w:r>
          </w:p>
        </w:tc>
      </w:tr>
      <w:tr w:rsidR="008204A8" w:rsidTr="008204A8">
        <w:tc>
          <w:tcPr>
            <w:tcW w:w="4675" w:type="dxa"/>
          </w:tcPr>
          <w:p w:rsidR="008204A8" w:rsidRDefault="008204A8" w:rsidP="008204A8">
            <w:pPr>
              <w:spacing w:line="360" w:lineRule="auto"/>
            </w:pPr>
            <w:r>
              <w:t>PLM-2003</w:t>
            </w:r>
          </w:p>
        </w:tc>
        <w:tc>
          <w:tcPr>
            <w:tcW w:w="4675" w:type="dxa"/>
          </w:tcPr>
          <w:p w:rsidR="008204A8" w:rsidRPr="008204A8" w:rsidRDefault="008204A8" w:rsidP="008204A8">
            <w:pPr>
              <w:spacing w:line="360" w:lineRule="auto"/>
            </w:pPr>
            <w:r>
              <w:t>Pro-Mag</w:t>
            </w:r>
            <w:r>
              <w:rPr>
                <w:vertAlign w:val="superscript"/>
              </w:rPr>
              <w:t>TM</w:t>
            </w:r>
            <w:r>
              <w:t xml:space="preserve"> </w:t>
            </w:r>
            <w:r w:rsidRPr="008204A8">
              <w:t>96- Well Magnetic Rack</w:t>
            </w:r>
          </w:p>
        </w:tc>
      </w:tr>
      <w:tr w:rsidR="008204A8" w:rsidTr="0081374A">
        <w:tc>
          <w:tcPr>
            <w:tcW w:w="4675" w:type="dxa"/>
          </w:tcPr>
          <w:p w:rsidR="008204A8" w:rsidRDefault="008204A8" w:rsidP="008204A8">
            <w:pPr>
              <w:spacing w:line="360" w:lineRule="auto"/>
            </w:pPr>
            <w:r>
              <w:t>PLM-1008</w:t>
            </w:r>
          </w:p>
        </w:tc>
        <w:tc>
          <w:tcPr>
            <w:tcW w:w="4675" w:type="dxa"/>
          </w:tcPr>
          <w:p w:rsidR="008204A8" w:rsidRDefault="008204A8" w:rsidP="008204A8">
            <w:pPr>
              <w:spacing w:line="360" w:lineRule="auto"/>
            </w:pPr>
            <w:r>
              <w:t>Pro-AmpRT</w:t>
            </w:r>
            <w:r w:rsidRPr="008204A8">
              <w:rPr>
                <w:vertAlign w:val="superscript"/>
              </w:rPr>
              <w:t>TM</w:t>
            </w:r>
            <w:r>
              <w:t xml:space="preserve"> West Nile Virus Assay</w:t>
            </w:r>
          </w:p>
        </w:tc>
      </w:tr>
      <w:tr w:rsidR="008204A8" w:rsidTr="0081374A">
        <w:tc>
          <w:tcPr>
            <w:tcW w:w="4675" w:type="dxa"/>
          </w:tcPr>
          <w:p w:rsidR="008204A8" w:rsidRDefault="008204A8" w:rsidP="008204A8">
            <w:pPr>
              <w:spacing w:line="360" w:lineRule="auto"/>
            </w:pPr>
            <w:r>
              <w:t>PLM-1017</w:t>
            </w:r>
          </w:p>
        </w:tc>
        <w:tc>
          <w:tcPr>
            <w:tcW w:w="4675" w:type="dxa"/>
          </w:tcPr>
          <w:p w:rsidR="008204A8" w:rsidRDefault="008204A8" w:rsidP="008204A8">
            <w:pPr>
              <w:spacing w:line="360" w:lineRule="auto"/>
            </w:pPr>
            <w:r>
              <w:t>Pro-AmpRT</w:t>
            </w:r>
            <w:r w:rsidRPr="008204A8">
              <w:rPr>
                <w:vertAlign w:val="superscript"/>
              </w:rPr>
              <w:t>TM</w:t>
            </w:r>
            <w:r>
              <w:t xml:space="preserve"> Zika Virus Assay</w:t>
            </w:r>
          </w:p>
        </w:tc>
      </w:tr>
      <w:tr w:rsidR="008204A8" w:rsidTr="0081374A">
        <w:tc>
          <w:tcPr>
            <w:tcW w:w="9350" w:type="dxa"/>
            <w:gridSpan w:val="2"/>
          </w:tcPr>
          <w:p w:rsidR="008204A8" w:rsidRDefault="008204A8" w:rsidP="008204A8">
            <w:pPr>
              <w:spacing w:line="360" w:lineRule="auto"/>
              <w:jc w:val="center"/>
            </w:pPr>
            <w:r>
              <w:t xml:space="preserve">--Visit </w:t>
            </w:r>
            <w:r w:rsidRPr="0081374A">
              <w:t>www.pro-lab-direct.com</w:t>
            </w:r>
            <w:r>
              <w:t xml:space="preserve"> to see additional isothermal amplification assays available--</w:t>
            </w:r>
          </w:p>
        </w:tc>
      </w:tr>
    </w:tbl>
    <w:p w:rsidR="0081374A" w:rsidRPr="0081374A" w:rsidRDefault="0081374A" w:rsidP="0081374A"/>
    <w:p w:rsidR="00185C18" w:rsidRDefault="00185C18" w:rsidP="00185C18"/>
    <w:p w:rsidR="007069AF" w:rsidRDefault="007069AF" w:rsidP="00185C18">
      <w:pPr>
        <w:rPr>
          <w:b/>
        </w:rPr>
      </w:pPr>
      <w:r>
        <w:rPr>
          <w:noProof/>
          <w:lang w:eastAsia="en-US"/>
        </w:rPr>
        <mc:AlternateContent>
          <mc:Choice Requires="wps">
            <w:drawing>
              <wp:anchor distT="0" distB="0" distL="114300" distR="114300" simplePos="0" relativeHeight="251661312" behindDoc="0" locked="0" layoutInCell="1" allowOverlap="1" wp14:anchorId="7EDC855C" wp14:editId="6CF5087D">
                <wp:simplePos x="0" y="0"/>
                <wp:positionH relativeFrom="column">
                  <wp:posOffset>0</wp:posOffset>
                </wp:positionH>
                <wp:positionV relativeFrom="paragraph">
                  <wp:posOffset>0</wp:posOffset>
                </wp:positionV>
                <wp:extent cx="591502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591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2BA7BF" id="Straight Connector 5"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" strokecolor="black [3213]" strokeweight=".5pt">
                <v:stroke joinstyle="miter"/>
              </v:line>
            </w:pict>
          </mc:Fallback>
        </mc:AlternateContent>
      </w:r>
    </w:p>
    <w:p w:rsidR="00185C18" w:rsidRPr="00BD3F2F" w:rsidRDefault="00185C18" w:rsidP="00185C18">
      <w:pPr>
        <w:rPr>
          <w:b/>
          <w:sz w:val="24"/>
          <w:szCs w:val="24"/>
        </w:rPr>
      </w:pPr>
      <w:r w:rsidRPr="00BD3F2F">
        <w:rPr>
          <w:b/>
          <w:sz w:val="24"/>
          <w:szCs w:val="24"/>
        </w:rPr>
        <w:t>Pro-Lab Diagnostics</w:t>
      </w:r>
    </w:p>
    <w:p w:rsidR="00185C18" w:rsidRPr="00BD3F2F" w:rsidRDefault="00185C18" w:rsidP="00185C18">
      <w:pPr>
        <w:rPr>
          <w:sz w:val="24"/>
          <w:szCs w:val="24"/>
        </w:rPr>
      </w:pPr>
      <w:r w:rsidRPr="00BD3F2F">
        <w:rPr>
          <w:sz w:val="24"/>
          <w:szCs w:val="24"/>
        </w:rPr>
        <w:t>21 Cypress Boulevard, Suite 1070</w:t>
      </w:r>
    </w:p>
    <w:p w:rsidR="00185C18" w:rsidRPr="00BD3F2F" w:rsidRDefault="00185C18" w:rsidP="00185C18">
      <w:pPr>
        <w:rPr>
          <w:sz w:val="24"/>
          <w:szCs w:val="24"/>
        </w:rPr>
      </w:pPr>
      <w:r w:rsidRPr="00BD3F2F">
        <w:rPr>
          <w:sz w:val="24"/>
          <w:szCs w:val="24"/>
        </w:rPr>
        <w:t xml:space="preserve">Round Rock, Texas 78665 </w:t>
      </w:r>
      <w:r w:rsidR="007069AF" w:rsidRPr="00BD3F2F">
        <w:rPr>
          <w:sz w:val="24"/>
          <w:szCs w:val="24"/>
        </w:rPr>
        <w:t xml:space="preserve">    </w:t>
      </w:r>
      <w:r w:rsidRPr="00BD3F2F">
        <w:rPr>
          <w:sz w:val="24"/>
          <w:szCs w:val="24"/>
        </w:rPr>
        <w:t>USA</w:t>
      </w:r>
    </w:p>
    <w:p w:rsidR="007069AF" w:rsidRPr="00BD3F2F" w:rsidRDefault="007069AF" w:rsidP="00185C18">
      <w:pPr>
        <w:rPr>
          <w:sz w:val="24"/>
          <w:szCs w:val="24"/>
        </w:rPr>
      </w:pPr>
      <w:r w:rsidRPr="00BD3F2F">
        <w:rPr>
          <w:sz w:val="24"/>
          <w:szCs w:val="24"/>
        </w:rPr>
        <w:t>Toll free: 1 (800) 332 0450</w:t>
      </w:r>
    </w:p>
    <w:p w:rsidR="00185C18" w:rsidRPr="00BD3F2F" w:rsidRDefault="007069AF" w:rsidP="00185C18">
      <w:pPr>
        <w:rPr>
          <w:sz w:val="24"/>
          <w:szCs w:val="24"/>
        </w:rPr>
      </w:pPr>
      <w:r w:rsidRPr="00BD3F2F">
        <w:rPr>
          <w:sz w:val="24"/>
          <w:szCs w:val="24"/>
        </w:rPr>
        <w:t xml:space="preserve">Phone: </w:t>
      </w:r>
      <w:r w:rsidR="00185C18" w:rsidRPr="00BD3F2F">
        <w:rPr>
          <w:sz w:val="24"/>
          <w:szCs w:val="24"/>
        </w:rPr>
        <w:t>(512) 832-9145</w:t>
      </w:r>
    </w:p>
    <w:p w:rsidR="003B6B29" w:rsidRDefault="003B6B29" w:rsidP="00185C18">
      <w:pPr>
        <w:rPr>
          <w:sz w:val="24"/>
          <w:szCs w:val="24"/>
        </w:rPr>
      </w:pPr>
      <w:r>
        <w:rPr>
          <w:sz w:val="24"/>
          <w:szCs w:val="24"/>
        </w:rPr>
        <w:t>Email: support@pro-lab.us</w:t>
      </w:r>
    </w:p>
    <w:p w:rsidR="00185C18" w:rsidRPr="00BD3F2F" w:rsidRDefault="003B6B29" w:rsidP="00185C18">
      <w:pPr>
        <w:rPr>
          <w:sz w:val="24"/>
          <w:szCs w:val="24"/>
        </w:rPr>
      </w:pPr>
      <w:r>
        <w:rPr>
          <w:sz w:val="24"/>
          <w:szCs w:val="24"/>
        </w:rPr>
        <w:t xml:space="preserve">Website: </w:t>
      </w:r>
      <w:r w:rsidR="00185C18" w:rsidRPr="00BD3F2F">
        <w:rPr>
          <w:sz w:val="24"/>
          <w:szCs w:val="24"/>
        </w:rPr>
        <w:t>www.pro-lab-direct.com</w:t>
      </w:r>
    </w:p>
    <w:p w:rsidR="00185C18" w:rsidRDefault="00185C18" w:rsidP="00185C18"/>
    <w:p w:rsidR="00185C18" w:rsidRDefault="00185C18" w:rsidP="00185C18"/>
    <w:p w:rsidR="00185C18" w:rsidRDefault="00185C18" w:rsidP="00185C18"/>
    <w:p w:rsidR="00185C18" w:rsidRDefault="00185C18" w:rsidP="00185C18"/>
    <w:p w:rsidR="00185C18" w:rsidRDefault="00185C18" w:rsidP="00185C18"/>
    <w:p w:rsidR="007069AF" w:rsidRDefault="007069AF" w:rsidP="00185C18"/>
    <w:p w:rsidR="007069AF" w:rsidRDefault="007069AF" w:rsidP="00185C18"/>
    <w:p w:rsidR="007069AF" w:rsidRDefault="007069AF" w:rsidP="00185C18"/>
    <w:p w:rsidR="007069AF" w:rsidRDefault="007069AF" w:rsidP="00185C18"/>
    <w:p w:rsidR="007069AF" w:rsidRDefault="007069AF" w:rsidP="00185C18"/>
    <w:p w:rsidR="007069AF" w:rsidRDefault="007069AF" w:rsidP="00185C18"/>
    <w:p w:rsidR="007069AF" w:rsidRDefault="007069AF" w:rsidP="00185C18"/>
    <w:p w:rsidR="00185C18" w:rsidRDefault="00185C18" w:rsidP="00185C18"/>
    <w:p w:rsidR="00185C18" w:rsidRDefault="00185C18" w:rsidP="00185C18">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132715</wp:posOffset>
                </wp:positionH>
                <wp:positionV relativeFrom="paragraph">
                  <wp:posOffset>906145</wp:posOffset>
                </wp:positionV>
                <wp:extent cx="591502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591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D3EB70" id="Straight Connector 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5pt,71.35pt" to="476.2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" strokecolor="black [3213]" strokeweight=".5pt">
                <v:stroke joinstyle="miter"/>
              </v:line>
            </w:pict>
          </mc:Fallback>
        </mc:AlternateContent>
      </w:r>
      <w:r>
        <w:rPr>
          <w:noProof/>
          <w:lang w:eastAsia="en-US"/>
        </w:rPr>
        <w:drawing>
          <wp:inline distT="0" distB="0" distL="0" distR="0" wp14:anchorId="7AC87DD0" wp14:editId="788F8AB9">
            <wp:extent cx="297180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Lab-Diagnostics-Logo-CMYK-Colou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5336" cy="743834"/>
                    </a:xfrm>
                    <a:prstGeom prst="rect">
                      <a:avLst/>
                    </a:prstGeom>
                  </pic:spPr>
                </pic:pic>
              </a:graphicData>
            </a:graphic>
          </wp:inline>
        </w:drawing>
      </w:r>
    </w:p>
    <w:p w:rsidR="00185C18" w:rsidRDefault="00185C18" w:rsidP="00185C18"/>
    <w:p w:rsidR="00185C18" w:rsidRDefault="00185C18" w:rsidP="00185C18">
      <w:r w:rsidRPr="007069AF">
        <w:rPr>
          <w:b/>
        </w:rPr>
        <w:t xml:space="preserve">Canada </w:t>
      </w:r>
      <w:r w:rsidR="007069AF" w:rsidRPr="007069AF">
        <w:rPr>
          <w:b/>
        </w:rPr>
        <w:t>(Head Quarters)</w:t>
      </w:r>
      <w:r w:rsidR="007069AF">
        <w:t xml:space="preserve"> ● 1 905 731 0300 ● support@pro-lab.com</w:t>
      </w:r>
    </w:p>
    <w:p w:rsidR="00185C18" w:rsidRPr="00185C18" w:rsidRDefault="00185C18" w:rsidP="00185C18">
      <w:r w:rsidRPr="007069AF">
        <w:rPr>
          <w:b/>
        </w:rPr>
        <w:t>United Kingdom</w:t>
      </w:r>
      <w:r>
        <w:t xml:space="preserve"> </w:t>
      </w:r>
      <w:r w:rsidR="007069AF">
        <w:t>● 44 0 151 353 1613 ● uksupport@pro-lab.com</w:t>
      </w:r>
    </w:p>
    <w:sectPr w:rsidR="00185C18" w:rsidRPr="00185C18" w:rsidSect="00652FAA">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FAA" w:rsidRDefault="00652FAA" w:rsidP="00652FAA">
      <w:pPr>
        <w:spacing w:after="0" w:line="240" w:lineRule="auto"/>
      </w:pPr>
      <w:r>
        <w:separator/>
      </w:r>
    </w:p>
  </w:endnote>
  <w:endnote w:type="continuationSeparator" w:id="0">
    <w:p w:rsidR="00652FAA" w:rsidRDefault="00652FAA" w:rsidP="00652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105157"/>
      <w:docPartObj>
        <w:docPartGallery w:val="Page Numbers (Bottom of Page)"/>
        <w:docPartUnique/>
      </w:docPartObj>
    </w:sdtPr>
    <w:sdtEndPr/>
    <w:sdtContent>
      <w:sdt>
        <w:sdtPr>
          <w:id w:val="1728636285"/>
          <w:docPartObj>
            <w:docPartGallery w:val="Page Numbers (Top of Page)"/>
            <w:docPartUnique/>
          </w:docPartObj>
        </w:sdtPr>
        <w:sdtEndPr/>
        <w:sdtContent>
          <w:p w:rsidR="00652FAA" w:rsidRDefault="00652FA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47C7">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47C7">
              <w:rPr>
                <w:b/>
                <w:bCs/>
                <w:noProof/>
              </w:rPr>
              <w:t>7</w:t>
            </w:r>
            <w:r>
              <w:rPr>
                <w:b/>
                <w:bCs/>
                <w:sz w:val="24"/>
                <w:szCs w:val="24"/>
              </w:rPr>
              <w:fldChar w:fldCharType="end"/>
            </w:r>
          </w:p>
        </w:sdtContent>
      </w:sdt>
    </w:sdtContent>
  </w:sdt>
  <w:p w:rsidR="00652FAA" w:rsidRDefault="00652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FAA" w:rsidRDefault="00652FAA" w:rsidP="00652FAA">
      <w:pPr>
        <w:spacing w:after="0" w:line="240" w:lineRule="auto"/>
      </w:pPr>
      <w:r>
        <w:separator/>
      </w:r>
    </w:p>
  </w:footnote>
  <w:footnote w:type="continuationSeparator" w:id="0">
    <w:p w:rsidR="00652FAA" w:rsidRDefault="00652FAA" w:rsidP="00652F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91C04"/>
    <w:multiLevelType w:val="hybridMultilevel"/>
    <w:tmpl w:val="BCDE2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C0F82"/>
    <w:multiLevelType w:val="hybridMultilevel"/>
    <w:tmpl w:val="476E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63518"/>
    <w:multiLevelType w:val="multilevel"/>
    <w:tmpl w:val="4F0E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6277A"/>
    <w:multiLevelType w:val="hybridMultilevel"/>
    <w:tmpl w:val="7E3C2F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4628C0"/>
    <w:multiLevelType w:val="hybridMultilevel"/>
    <w:tmpl w:val="02E45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2C6E35"/>
    <w:multiLevelType w:val="hybridMultilevel"/>
    <w:tmpl w:val="201EA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E92152"/>
    <w:multiLevelType w:val="hybridMultilevel"/>
    <w:tmpl w:val="3990C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3872DD"/>
    <w:multiLevelType w:val="hybridMultilevel"/>
    <w:tmpl w:val="3990C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EE152A"/>
    <w:multiLevelType w:val="hybridMultilevel"/>
    <w:tmpl w:val="50FAF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653213"/>
    <w:multiLevelType w:val="hybridMultilevel"/>
    <w:tmpl w:val="8E0A8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61E3B01"/>
    <w:multiLevelType w:val="hybridMultilevel"/>
    <w:tmpl w:val="3990C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1D6F0F"/>
    <w:multiLevelType w:val="hybridMultilevel"/>
    <w:tmpl w:val="C2666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8"/>
  </w:num>
  <w:num w:numId="4">
    <w:abstractNumId w:val="7"/>
  </w:num>
  <w:num w:numId="5">
    <w:abstractNumId w:val="5"/>
  </w:num>
  <w:num w:numId="6">
    <w:abstractNumId w:val="4"/>
  </w:num>
  <w:num w:numId="7">
    <w:abstractNumId w:val="0"/>
  </w:num>
  <w:num w:numId="8">
    <w:abstractNumId w:val="6"/>
  </w:num>
  <w:num w:numId="9">
    <w:abstractNumId w:val="10"/>
  </w:num>
  <w:num w:numId="10">
    <w:abstractNumId w:val="1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BEF"/>
    <w:rsid w:val="000271FE"/>
    <w:rsid w:val="00033A4D"/>
    <w:rsid w:val="00041655"/>
    <w:rsid w:val="00043F3F"/>
    <w:rsid w:val="000A78AF"/>
    <w:rsid w:val="000C75E6"/>
    <w:rsid w:val="001331F3"/>
    <w:rsid w:val="0015076A"/>
    <w:rsid w:val="0015102E"/>
    <w:rsid w:val="00152062"/>
    <w:rsid w:val="00162503"/>
    <w:rsid w:val="00185C18"/>
    <w:rsid w:val="001F6BEE"/>
    <w:rsid w:val="0022628E"/>
    <w:rsid w:val="00273635"/>
    <w:rsid w:val="0033347B"/>
    <w:rsid w:val="0034026C"/>
    <w:rsid w:val="003B6B29"/>
    <w:rsid w:val="003C2B28"/>
    <w:rsid w:val="003D6406"/>
    <w:rsid w:val="00456FF1"/>
    <w:rsid w:val="004833A9"/>
    <w:rsid w:val="004860BE"/>
    <w:rsid w:val="004E00C7"/>
    <w:rsid w:val="004F68F9"/>
    <w:rsid w:val="005D407C"/>
    <w:rsid w:val="00603FD1"/>
    <w:rsid w:val="00605BF6"/>
    <w:rsid w:val="00652FAA"/>
    <w:rsid w:val="006547C7"/>
    <w:rsid w:val="00673AF6"/>
    <w:rsid w:val="00696BEF"/>
    <w:rsid w:val="006A0EB8"/>
    <w:rsid w:val="006C721E"/>
    <w:rsid w:val="00700DF9"/>
    <w:rsid w:val="007069AF"/>
    <w:rsid w:val="00712C7F"/>
    <w:rsid w:val="007C1DD9"/>
    <w:rsid w:val="007C6866"/>
    <w:rsid w:val="007D3893"/>
    <w:rsid w:val="0081374A"/>
    <w:rsid w:val="008204A8"/>
    <w:rsid w:val="00821E1E"/>
    <w:rsid w:val="0084175B"/>
    <w:rsid w:val="00855D5B"/>
    <w:rsid w:val="00856C4D"/>
    <w:rsid w:val="00886D0F"/>
    <w:rsid w:val="008E4965"/>
    <w:rsid w:val="008F1BEA"/>
    <w:rsid w:val="00970C10"/>
    <w:rsid w:val="009C5759"/>
    <w:rsid w:val="00A07D9F"/>
    <w:rsid w:val="00A44681"/>
    <w:rsid w:val="00A44B38"/>
    <w:rsid w:val="00A56432"/>
    <w:rsid w:val="00A712BB"/>
    <w:rsid w:val="00AA7A60"/>
    <w:rsid w:val="00AC7194"/>
    <w:rsid w:val="00AE02B6"/>
    <w:rsid w:val="00B2657D"/>
    <w:rsid w:val="00B51244"/>
    <w:rsid w:val="00B54CC1"/>
    <w:rsid w:val="00B921B5"/>
    <w:rsid w:val="00BC5AAF"/>
    <w:rsid w:val="00BD3F2F"/>
    <w:rsid w:val="00C21186"/>
    <w:rsid w:val="00C401F5"/>
    <w:rsid w:val="00C53E88"/>
    <w:rsid w:val="00C54150"/>
    <w:rsid w:val="00C90781"/>
    <w:rsid w:val="00CD4B8F"/>
    <w:rsid w:val="00CD63A1"/>
    <w:rsid w:val="00D01583"/>
    <w:rsid w:val="00DC29E3"/>
    <w:rsid w:val="00E90AAE"/>
    <w:rsid w:val="00EE2B04"/>
    <w:rsid w:val="00F71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33DE"/>
  <w15:chartTrackingRefBased/>
  <w15:docId w15:val="{FC1A733C-18B0-49BB-AF80-2150A3B2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28E"/>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2262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22628E"/>
    <w:rPr>
      <w:b/>
      <w:bCs/>
      <w:i/>
      <w:iCs/>
      <w:spacing w:val="5"/>
    </w:rPr>
  </w:style>
  <w:style w:type="character" w:styleId="Strong">
    <w:name w:val="Strong"/>
    <w:basedOn w:val="DefaultParagraphFont"/>
    <w:uiPriority w:val="22"/>
    <w:qFormat/>
    <w:rsid w:val="0022628E"/>
    <w:rPr>
      <w:b/>
      <w:bCs/>
    </w:rPr>
  </w:style>
  <w:style w:type="paragraph" w:styleId="Title">
    <w:name w:val="Title"/>
    <w:basedOn w:val="Normal"/>
    <w:next w:val="Normal"/>
    <w:link w:val="TitleChar"/>
    <w:uiPriority w:val="10"/>
    <w:qFormat/>
    <w:rsid w:val="002262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2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2628E"/>
    <w:rPr>
      <w:rFonts w:asciiTheme="majorHAnsi" w:eastAsiaTheme="majorEastAsia" w:hAnsiTheme="majorHAnsi" w:cstheme="majorBidi"/>
      <w:sz w:val="32"/>
      <w:szCs w:val="32"/>
    </w:rPr>
  </w:style>
  <w:style w:type="paragraph" w:styleId="TOCHeading">
    <w:name w:val="TOC Heading"/>
    <w:basedOn w:val="Heading1"/>
    <w:next w:val="Normal"/>
    <w:uiPriority w:val="39"/>
    <w:unhideWhenUsed/>
    <w:qFormat/>
    <w:rsid w:val="0022628E"/>
    <w:pPr>
      <w:outlineLvl w:val="9"/>
    </w:pPr>
    <w:rPr>
      <w:color w:val="2E74B5" w:themeColor="accent1" w:themeShade="BF"/>
      <w:lang w:eastAsia="en-US"/>
    </w:rPr>
  </w:style>
  <w:style w:type="paragraph" w:styleId="TOC1">
    <w:name w:val="toc 1"/>
    <w:basedOn w:val="Normal"/>
    <w:next w:val="Normal"/>
    <w:autoRedefine/>
    <w:uiPriority w:val="39"/>
    <w:unhideWhenUsed/>
    <w:rsid w:val="0022628E"/>
    <w:pPr>
      <w:spacing w:after="100"/>
    </w:pPr>
  </w:style>
  <w:style w:type="character" w:styleId="Hyperlink">
    <w:name w:val="Hyperlink"/>
    <w:basedOn w:val="DefaultParagraphFont"/>
    <w:uiPriority w:val="99"/>
    <w:unhideWhenUsed/>
    <w:rsid w:val="0022628E"/>
    <w:rPr>
      <w:color w:val="0563C1" w:themeColor="hyperlink"/>
      <w:u w:val="single"/>
    </w:rPr>
  </w:style>
  <w:style w:type="character" w:customStyle="1" w:styleId="Heading2Char">
    <w:name w:val="Heading 2 Char"/>
    <w:basedOn w:val="DefaultParagraphFont"/>
    <w:link w:val="Heading2"/>
    <w:uiPriority w:val="9"/>
    <w:rsid w:val="0022628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52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FAA"/>
  </w:style>
  <w:style w:type="paragraph" w:styleId="Footer">
    <w:name w:val="footer"/>
    <w:basedOn w:val="Normal"/>
    <w:link w:val="FooterChar"/>
    <w:uiPriority w:val="99"/>
    <w:unhideWhenUsed/>
    <w:rsid w:val="00652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FAA"/>
  </w:style>
  <w:style w:type="character" w:styleId="Mention">
    <w:name w:val="Mention"/>
    <w:basedOn w:val="DefaultParagraphFont"/>
    <w:uiPriority w:val="99"/>
    <w:semiHidden/>
    <w:unhideWhenUsed/>
    <w:rsid w:val="00185C18"/>
    <w:rPr>
      <w:color w:val="2B579A"/>
      <w:shd w:val="clear" w:color="auto" w:fill="E6E6E6"/>
    </w:rPr>
  </w:style>
  <w:style w:type="table" w:styleId="TableGrid">
    <w:name w:val="Table Grid"/>
    <w:basedOn w:val="TableNormal"/>
    <w:uiPriority w:val="39"/>
    <w:rsid w:val="0048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33A9"/>
    <w:pPr>
      <w:ind w:left="720"/>
      <w:contextualSpacing/>
    </w:pPr>
  </w:style>
  <w:style w:type="paragraph" w:customStyle="1" w:styleId="Default">
    <w:name w:val="Default"/>
    <w:rsid w:val="00B921B5"/>
    <w:pPr>
      <w:autoSpaceDE w:val="0"/>
      <w:autoSpaceDN w:val="0"/>
      <w:adjustRightInd w:val="0"/>
      <w:spacing w:after="0" w:line="240" w:lineRule="auto"/>
    </w:pPr>
    <w:rPr>
      <w:rFonts w:ascii="Cambria" w:eastAsiaTheme="minorHAnsi" w:hAnsi="Cambria" w:cs="Cambria"/>
      <w:color w:val="000000"/>
      <w:sz w:val="24"/>
      <w:szCs w:val="24"/>
      <w:lang w:eastAsia="en-US"/>
    </w:rPr>
  </w:style>
  <w:style w:type="paragraph" w:styleId="BalloonText">
    <w:name w:val="Balloon Text"/>
    <w:basedOn w:val="Normal"/>
    <w:link w:val="BalloonTextChar"/>
    <w:uiPriority w:val="99"/>
    <w:semiHidden/>
    <w:unhideWhenUsed/>
    <w:rsid w:val="00855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93442">
      <w:bodyDiv w:val="1"/>
      <w:marLeft w:val="0"/>
      <w:marRight w:val="0"/>
      <w:marTop w:val="0"/>
      <w:marBottom w:val="0"/>
      <w:divBdr>
        <w:top w:val="none" w:sz="0" w:space="0" w:color="auto"/>
        <w:left w:val="none" w:sz="0" w:space="0" w:color="auto"/>
        <w:bottom w:val="none" w:sz="0" w:space="0" w:color="auto"/>
        <w:right w:val="none" w:sz="0" w:space="0" w:color="auto"/>
      </w:divBdr>
    </w:div>
    <w:div w:id="43359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10BAD-9B71-428C-830F-17DE373E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Surls</dc:creator>
  <cp:keywords/>
  <dc:description/>
  <cp:lastModifiedBy>Jackie Surls</cp:lastModifiedBy>
  <cp:revision>2</cp:revision>
  <cp:lastPrinted>2017-04-10T01:31:00Z</cp:lastPrinted>
  <dcterms:created xsi:type="dcterms:W3CDTF">2017-04-25T23:11:00Z</dcterms:created>
  <dcterms:modified xsi:type="dcterms:W3CDTF">2017-04-25T23:11:00Z</dcterms:modified>
</cp:coreProperties>
</file>